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1400"/>
      </w:tblGrid>
      <w:tr w:rsidR="00D8569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800" w:type="dxa"/>
          </w:tcPr>
          <w:p w:rsidR="00D85692" w:rsidRDefault="00D85692">
            <w:pPr>
              <w:pStyle w:val="Default"/>
              <w:rPr>
                <w:sz w:val="14"/>
                <w:szCs w:val="14"/>
              </w:rPr>
            </w:pPr>
          </w:p>
          <w:p w:rsidR="008D7687" w:rsidRDefault="00D85692">
            <w:pPr>
              <w:pStyle w:val="Default"/>
              <w:rPr>
                <w:sz w:val="48"/>
                <w:szCs w:val="48"/>
              </w:rPr>
            </w:pPr>
            <w:bookmarkStart w:id="0" w:name="_GoBack"/>
            <w:r>
              <w:rPr>
                <w:sz w:val="14"/>
                <w:szCs w:val="14"/>
              </w:rPr>
              <w:t xml:space="preserve"> </w:t>
            </w:r>
            <w:r>
              <w:rPr>
                <w:sz w:val="48"/>
                <w:szCs w:val="48"/>
              </w:rPr>
              <w:t xml:space="preserve">Funktionaler Analphabetismus </w:t>
            </w:r>
            <w:bookmarkEnd w:id="0"/>
            <w:r>
              <w:rPr>
                <w:sz w:val="48"/>
                <w:szCs w:val="48"/>
              </w:rPr>
              <w:t>–Hintergründe eines aktuellen</w:t>
            </w:r>
            <w:r w:rsidR="008D768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gesellschaftlichen </w:t>
            </w:r>
            <w:r w:rsidR="008D7687">
              <w:rPr>
                <w:sz w:val="48"/>
                <w:szCs w:val="48"/>
              </w:rPr>
              <w:t>P</w:t>
            </w:r>
            <w:r>
              <w:rPr>
                <w:sz w:val="48"/>
                <w:szCs w:val="48"/>
              </w:rPr>
              <w:t>hänomens</w:t>
            </w:r>
          </w:p>
          <w:p w:rsidR="008D7687" w:rsidRDefault="008D7687">
            <w:pPr>
              <w:pStyle w:val="Default"/>
              <w:rPr>
                <w:sz w:val="48"/>
                <w:szCs w:val="48"/>
              </w:rPr>
            </w:pPr>
          </w:p>
          <w:p w:rsidR="00D85692" w:rsidRDefault="00D8569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Von Sven Nickel </w:t>
            </w:r>
          </w:p>
        </w:tc>
        <w:tc>
          <w:tcPr>
            <w:tcW w:w="1400" w:type="dxa"/>
          </w:tcPr>
          <w:p w:rsidR="00D85692" w:rsidRDefault="00D85692">
            <w:pPr>
              <w:pStyle w:val="Default"/>
              <w:rPr>
                <w:sz w:val="21"/>
                <w:szCs w:val="21"/>
              </w:rPr>
            </w:pPr>
          </w:p>
        </w:tc>
      </w:tr>
      <w:tr w:rsidR="00D8569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200" w:type="dxa"/>
            <w:gridSpan w:val="2"/>
          </w:tcPr>
          <w:p w:rsidR="00D85692" w:rsidRDefault="00D856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phil., geb. 1968; Professor für Sprach- und Literaturdidaktik, Universität Bremen, Bibliothekstraße 1–3, 28359Bremen. snickel@uni-bremen.de</w:t>
            </w:r>
          </w:p>
        </w:tc>
      </w:tr>
    </w:tbl>
    <w:p w:rsidR="000571F2" w:rsidRDefault="000571F2"/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Bei dem Wort "Barriere" denken wir meist sofort an ein sichtbares Hindernis. Viel </w:t>
      </w:r>
      <w:r w:rsidR="00C77D7F">
        <w:rPr>
          <w:sz w:val="21"/>
          <w:szCs w:val="21"/>
        </w:rPr>
        <w:t>subtiler sind</w:t>
      </w:r>
      <w:r>
        <w:rPr>
          <w:sz w:val="21"/>
          <w:szCs w:val="21"/>
        </w:rPr>
        <w:t xml:space="preserve"> jedoch unsichtbare Hindernisse, zum Beispiel sprachliche Barrieren. So wie </w:t>
      </w:r>
      <w:r w:rsidR="00C77D7F">
        <w:rPr>
          <w:sz w:val="21"/>
          <w:szCs w:val="21"/>
        </w:rPr>
        <w:t>jede Treppe</w:t>
      </w:r>
      <w:r>
        <w:rPr>
          <w:sz w:val="21"/>
          <w:szCs w:val="21"/>
        </w:rPr>
        <w:t xml:space="preserve"> für das Fortbewegen mit Krücken oder Rollstuhl eine Herausforderung </w:t>
      </w:r>
      <w:r w:rsidR="00C77D7F">
        <w:rPr>
          <w:sz w:val="21"/>
          <w:szCs w:val="21"/>
        </w:rPr>
        <w:t>darstellt, so</w:t>
      </w:r>
      <w:r>
        <w:rPr>
          <w:sz w:val="21"/>
          <w:szCs w:val="21"/>
        </w:rPr>
        <w:t xml:space="preserve"> sind viele Texte für Menschen mit geringen Lesekompetenzen ein ernsthaftes </w:t>
      </w:r>
      <w:r w:rsidR="00C77D7F">
        <w:rPr>
          <w:sz w:val="21"/>
          <w:szCs w:val="21"/>
        </w:rPr>
        <w:t>Hindernis. Schrift</w:t>
      </w:r>
      <w:r>
        <w:rPr>
          <w:sz w:val="21"/>
          <w:szCs w:val="21"/>
        </w:rPr>
        <w:t xml:space="preserve">, so hätte es der französische Soziologe Pierre Bourdieu ausgedrückt, ist eben </w:t>
      </w:r>
      <w:r w:rsidR="00C77D7F">
        <w:rPr>
          <w:sz w:val="21"/>
          <w:szCs w:val="21"/>
        </w:rPr>
        <w:t>nicht nur</w:t>
      </w:r>
      <w:r>
        <w:rPr>
          <w:sz w:val="21"/>
          <w:szCs w:val="21"/>
        </w:rPr>
        <w:t xml:space="preserve"> ein Zeichensystem und ein Kommunikationsmittel, sondern auch ein </w:t>
      </w:r>
      <w:r w:rsidR="00C77D7F">
        <w:rPr>
          <w:sz w:val="21"/>
          <w:szCs w:val="21"/>
        </w:rPr>
        <w:t>Instrument sozialen</w:t>
      </w:r>
      <w:r>
        <w:rPr>
          <w:sz w:val="21"/>
          <w:szCs w:val="21"/>
        </w:rPr>
        <w:t xml:space="preserve"> Handelns – ein Mittel der Herrschaft.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Mit dem Konzept der Leichten Sprache werden Texte so vereinfacht, dass auch Menschenmit einer geringeren Lesekompetenz sie lesen können. Das Konzept leistet daher </w:t>
      </w:r>
      <w:r w:rsidR="00C77D7F">
        <w:rPr>
          <w:sz w:val="21"/>
          <w:szCs w:val="21"/>
        </w:rPr>
        <w:t>einen wertvollen</w:t>
      </w:r>
      <w:r>
        <w:rPr>
          <w:sz w:val="21"/>
          <w:szCs w:val="21"/>
        </w:rPr>
        <w:t xml:space="preserve"> Beitrag zur Verminderung sprachlicher Teilhabebarrieren – und damit </w:t>
      </w:r>
      <w:r w:rsidR="00C77D7F">
        <w:rPr>
          <w:sz w:val="21"/>
          <w:szCs w:val="21"/>
        </w:rPr>
        <w:t>zur gesellschaftlichen</w:t>
      </w:r>
      <w:r>
        <w:rPr>
          <w:sz w:val="21"/>
          <w:szCs w:val="21"/>
        </w:rPr>
        <w:t xml:space="preserve"> Inklusion. Dies ist sicher hilfreich und notwendig, aber nicht </w:t>
      </w:r>
      <w:r w:rsidR="00C77D7F">
        <w:rPr>
          <w:sz w:val="21"/>
          <w:szCs w:val="21"/>
        </w:rPr>
        <w:t>hinreichend. Denn</w:t>
      </w:r>
      <w:r>
        <w:rPr>
          <w:sz w:val="21"/>
          <w:szCs w:val="21"/>
        </w:rPr>
        <w:t xml:space="preserve"> geringe Lesekompetenzen sind ein gesellschaftliches Problem. Ein großer Teil </w:t>
      </w:r>
      <w:r w:rsidR="00C77D7F">
        <w:rPr>
          <w:sz w:val="21"/>
          <w:szCs w:val="21"/>
        </w:rPr>
        <w:t>der Bevölkerung</w:t>
      </w:r>
      <w:r>
        <w:rPr>
          <w:sz w:val="21"/>
          <w:szCs w:val="21"/>
        </w:rPr>
        <w:t xml:space="preserve"> versteht Texte nur auf sehr basalem Niveau. Der vorliegende Beitrag </w:t>
      </w:r>
      <w:r w:rsidR="00C77D7F">
        <w:rPr>
          <w:sz w:val="21"/>
          <w:szCs w:val="21"/>
        </w:rPr>
        <w:t>widmet sich</w:t>
      </w:r>
      <w:r>
        <w:rPr>
          <w:sz w:val="21"/>
          <w:szCs w:val="21"/>
        </w:rPr>
        <w:t xml:space="preserve"> den Hintergründen dieses Phänomens. Wie viele Men</w:t>
      </w:r>
      <w:r w:rsidR="00C77D7F">
        <w:rPr>
          <w:sz w:val="21"/>
          <w:szCs w:val="21"/>
        </w:rPr>
        <w:t xml:space="preserve">schen bezeichnen wir als gering </w:t>
      </w:r>
      <w:proofErr w:type="spellStart"/>
      <w:r w:rsidR="00C77D7F">
        <w:rPr>
          <w:sz w:val="21"/>
          <w:szCs w:val="21"/>
        </w:rPr>
        <w:t>l</w:t>
      </w:r>
      <w:r>
        <w:rPr>
          <w:sz w:val="21"/>
          <w:szCs w:val="21"/>
        </w:rPr>
        <w:t>iteralisiert</w:t>
      </w:r>
      <w:proofErr w:type="spellEnd"/>
      <w:r>
        <w:rPr>
          <w:sz w:val="21"/>
          <w:szCs w:val="21"/>
        </w:rPr>
        <w:t xml:space="preserve">? Wie kommt es dazu? Und wie sehen die Lebensweltbedingungen </w:t>
      </w:r>
      <w:r w:rsidR="00C77D7F">
        <w:rPr>
          <w:sz w:val="21"/>
          <w:szCs w:val="21"/>
        </w:rPr>
        <w:t>der betroffenen</w:t>
      </w:r>
      <w:r>
        <w:rPr>
          <w:sz w:val="21"/>
          <w:szCs w:val="21"/>
        </w:rPr>
        <w:t xml:space="preserve"> Menschen aus?</w:t>
      </w: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Definition und Größenordnung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Um das Problem der geringen Literalität zu fassen, sei ein kurzer Ausflug in die </w:t>
      </w:r>
      <w:r w:rsidR="00C77D7F">
        <w:rPr>
          <w:sz w:val="21"/>
          <w:szCs w:val="21"/>
        </w:rPr>
        <w:t>jüngere Historie</w:t>
      </w:r>
      <w:r>
        <w:rPr>
          <w:sz w:val="21"/>
          <w:szCs w:val="21"/>
        </w:rPr>
        <w:t xml:space="preserve"> vorangestellt. Erstmals diskutiert wurde das Phänomen der nicht ausreichenden</w:t>
      </w:r>
      <w:r w:rsidR="00C77D7F">
        <w:rPr>
          <w:sz w:val="21"/>
          <w:szCs w:val="21"/>
        </w:rPr>
        <w:t xml:space="preserve"> </w:t>
      </w:r>
      <w:r>
        <w:rPr>
          <w:sz w:val="21"/>
          <w:szCs w:val="21"/>
        </w:rPr>
        <w:t>Schriftkompetenzen in Deutschland in den 1970er Jahren. Vor allem die Volkshochschulen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machten darauf aufmerksam, dass in der Mitte unserer Gesellschaft Menschen </w:t>
      </w:r>
      <w:r>
        <w:rPr>
          <w:sz w:val="21"/>
          <w:szCs w:val="21"/>
        </w:rPr>
        <w:t>leben, deren</w:t>
      </w:r>
      <w:r>
        <w:rPr>
          <w:sz w:val="21"/>
          <w:szCs w:val="21"/>
        </w:rPr>
        <w:t xml:space="preserve"> schriftliche Kompetenzen nicht ausreichen, um an relevanten </w:t>
      </w:r>
      <w:r>
        <w:rPr>
          <w:sz w:val="21"/>
          <w:szCs w:val="21"/>
        </w:rPr>
        <w:t>gesellschaftlichen Prozessen</w:t>
      </w:r>
      <w:r>
        <w:rPr>
          <w:sz w:val="21"/>
          <w:szCs w:val="21"/>
        </w:rPr>
        <w:t xml:space="preserve"> in voller Breite partizipieren zu können. Diese Menschen besäßen </w:t>
      </w:r>
      <w:r>
        <w:rPr>
          <w:sz w:val="21"/>
          <w:szCs w:val="21"/>
        </w:rPr>
        <w:t>durchaus Kenntnisse</w:t>
      </w:r>
      <w:r>
        <w:rPr>
          <w:sz w:val="21"/>
          <w:szCs w:val="21"/>
        </w:rPr>
        <w:t xml:space="preserve"> der Schrift, sie seien keine An-Alphabeten im wörtlichen Sinne. Wohl </w:t>
      </w:r>
      <w:r>
        <w:rPr>
          <w:sz w:val="21"/>
          <w:szCs w:val="21"/>
        </w:rPr>
        <w:t>aber seien</w:t>
      </w:r>
      <w:r>
        <w:rPr>
          <w:sz w:val="21"/>
          <w:szCs w:val="21"/>
        </w:rPr>
        <w:t xml:space="preserve"> ihre schriftlichen Kompetenzen derart niedrig, dass sie die Funktion von Schrift </w:t>
      </w:r>
      <w:r>
        <w:rPr>
          <w:sz w:val="21"/>
          <w:szCs w:val="21"/>
        </w:rPr>
        <w:t>nur sehr</w:t>
      </w:r>
      <w:r>
        <w:rPr>
          <w:sz w:val="21"/>
          <w:szCs w:val="21"/>
        </w:rPr>
        <w:t xml:space="preserve"> eingeschränkt nutzen können. In unserer ausgeprägt </w:t>
      </w:r>
      <w:proofErr w:type="spellStart"/>
      <w:r>
        <w:rPr>
          <w:sz w:val="21"/>
          <w:szCs w:val="21"/>
        </w:rPr>
        <w:t>literal</w:t>
      </w:r>
      <w:proofErr w:type="spellEnd"/>
      <w:r>
        <w:rPr>
          <w:sz w:val="21"/>
          <w:szCs w:val="21"/>
        </w:rPr>
        <w:t xml:space="preserve"> organisierten </w:t>
      </w:r>
      <w:r>
        <w:rPr>
          <w:sz w:val="21"/>
          <w:szCs w:val="21"/>
        </w:rPr>
        <w:t>Gesellschaft könnten</w:t>
      </w:r>
      <w:r>
        <w:rPr>
          <w:sz w:val="21"/>
          <w:szCs w:val="21"/>
        </w:rPr>
        <w:t xml:space="preserve"> die Betroffenen die vorhandenen Schriftkompetenzen in ihren persönlichen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Lebenswelten somit nicht funktional einsetzen. Dies drückte sich aus in dem Begriff desfunktionalen Analphabetismus.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Das Phänomen war in den 1970er Jahren sicherlich nicht neu, es wurde aber erst zu </w:t>
      </w:r>
      <w:r>
        <w:rPr>
          <w:sz w:val="21"/>
          <w:szCs w:val="21"/>
        </w:rPr>
        <w:t>dieser Zeit</w:t>
      </w:r>
      <w:r>
        <w:rPr>
          <w:sz w:val="21"/>
          <w:szCs w:val="21"/>
        </w:rPr>
        <w:t xml:space="preserve"> virulent. Mit der Einführung neuer Technologien entfielen zahlreiche Arbeitsplätze im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primären Sektor (wie etwa in der Land- und Forstwirtschaft) – oder sie veränderten </w:t>
      </w:r>
      <w:r>
        <w:rPr>
          <w:sz w:val="21"/>
          <w:szCs w:val="21"/>
        </w:rPr>
        <w:t>sich so</w:t>
      </w:r>
      <w:r>
        <w:rPr>
          <w:sz w:val="21"/>
          <w:szCs w:val="21"/>
        </w:rPr>
        <w:t xml:space="preserve">, dass Lese- und Schreibkompetenzen unabdingbar wurden. Dennoch überraschten </w:t>
      </w:r>
      <w:r>
        <w:rPr>
          <w:sz w:val="21"/>
          <w:szCs w:val="21"/>
        </w:rPr>
        <w:t>die Berichte</w:t>
      </w:r>
      <w:r>
        <w:rPr>
          <w:sz w:val="21"/>
          <w:szCs w:val="21"/>
        </w:rPr>
        <w:t xml:space="preserve">, ging man doch davon aus, dass seit Einführung der allgemeinen Schulpflicht </w:t>
      </w:r>
      <w:r>
        <w:rPr>
          <w:sz w:val="21"/>
          <w:szCs w:val="21"/>
        </w:rPr>
        <w:t>und der</w:t>
      </w:r>
      <w:r>
        <w:rPr>
          <w:sz w:val="21"/>
          <w:szCs w:val="21"/>
        </w:rPr>
        <w:t xml:space="preserve"> damit verbundenen Alphabetisierung der breiten Bevölkerung alle Menschen </w:t>
      </w:r>
      <w:r>
        <w:rPr>
          <w:sz w:val="21"/>
          <w:szCs w:val="21"/>
        </w:rPr>
        <w:t>schreiben können</w:t>
      </w:r>
      <w:r>
        <w:rPr>
          <w:sz w:val="21"/>
          <w:szCs w:val="21"/>
        </w:rPr>
        <w:t>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Entsprechend wurden die ersten Berichte von politischer Seite zunächst negiert, </w:t>
      </w:r>
      <w:r>
        <w:rPr>
          <w:sz w:val="21"/>
          <w:szCs w:val="21"/>
        </w:rPr>
        <w:t>später als</w:t>
      </w:r>
      <w:r>
        <w:rPr>
          <w:sz w:val="21"/>
          <w:szCs w:val="21"/>
        </w:rPr>
        <w:t xml:space="preserve"> Einzelfälle betrachtet und auf individuelle Schwächen zurückgeführt. Erst </w:t>
      </w:r>
      <w:r>
        <w:rPr>
          <w:sz w:val="21"/>
          <w:szCs w:val="21"/>
        </w:rPr>
        <w:t>allmählich setzte</w:t>
      </w:r>
      <w:r>
        <w:rPr>
          <w:sz w:val="21"/>
          <w:szCs w:val="21"/>
        </w:rPr>
        <w:t xml:space="preserve"> sich die politische und gesellschaftliche Erkenntnis durch, dass ein bestimmter </w:t>
      </w:r>
      <w:r>
        <w:rPr>
          <w:sz w:val="21"/>
          <w:szCs w:val="21"/>
        </w:rPr>
        <w:t>Anteil von</w:t>
      </w:r>
      <w:r>
        <w:rPr>
          <w:sz w:val="21"/>
          <w:szCs w:val="21"/>
        </w:rPr>
        <w:t xml:space="preserve"> Schülerinnen und Schülern das deutsche Schulsystem verlässt, ohne </w:t>
      </w:r>
      <w:r>
        <w:rPr>
          <w:sz w:val="21"/>
          <w:szCs w:val="21"/>
        </w:rPr>
        <w:t>hinreichend lesen</w:t>
      </w:r>
      <w:r>
        <w:rPr>
          <w:sz w:val="21"/>
          <w:szCs w:val="21"/>
        </w:rPr>
        <w:t xml:space="preserve"> und schreiben gelernt zu haben. Dass Illiteralität ein drängendes </w:t>
      </w:r>
      <w:r>
        <w:rPr>
          <w:sz w:val="21"/>
          <w:szCs w:val="21"/>
        </w:rPr>
        <w:t>gesellschaftliches Problem</w:t>
      </w:r>
      <w:r>
        <w:rPr>
          <w:sz w:val="21"/>
          <w:szCs w:val="21"/>
        </w:rPr>
        <w:t xml:space="preserve"> ist, das struktureller Lösungen bedarf, dringt jedoch erst seit wenigen Jahren </w:t>
      </w:r>
      <w:r>
        <w:rPr>
          <w:sz w:val="21"/>
          <w:szCs w:val="21"/>
        </w:rPr>
        <w:t>und nur</w:t>
      </w:r>
      <w:r>
        <w:rPr>
          <w:sz w:val="21"/>
          <w:szCs w:val="21"/>
        </w:rPr>
        <w:t xml:space="preserve"> allmählich in das Bewusstsein von Politik, Wirtschaft und Gesellschaft.</w:t>
      </w: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Ähnlich der PISA-Studie wurden in PIAAC 2012 (Programme </w:t>
      </w:r>
      <w:proofErr w:type="spellStart"/>
      <w:r>
        <w:rPr>
          <w:sz w:val="21"/>
          <w:szCs w:val="21"/>
        </w:rPr>
        <w:t>for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International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Assessment </w:t>
      </w:r>
      <w:proofErr w:type="spellStart"/>
      <w:r>
        <w:rPr>
          <w:sz w:val="21"/>
          <w:szCs w:val="21"/>
        </w:rPr>
        <w:t>of</w:t>
      </w:r>
      <w:proofErr w:type="spellEnd"/>
      <w:r>
        <w:rPr>
          <w:sz w:val="21"/>
          <w:szCs w:val="21"/>
        </w:rPr>
        <w:t xml:space="preserve"> Adult </w:t>
      </w:r>
      <w:proofErr w:type="spellStart"/>
      <w:r>
        <w:rPr>
          <w:sz w:val="21"/>
          <w:szCs w:val="21"/>
        </w:rPr>
        <w:t>Competencies</w:t>
      </w:r>
      <w:proofErr w:type="spellEnd"/>
      <w:r>
        <w:rPr>
          <w:sz w:val="21"/>
          <w:szCs w:val="21"/>
        </w:rPr>
        <w:t xml:space="preserve">) der OECD (Organisation für </w:t>
      </w:r>
      <w:r>
        <w:rPr>
          <w:sz w:val="21"/>
          <w:szCs w:val="21"/>
        </w:rPr>
        <w:t>wirtschaftliche Zusammenarbeit</w:t>
      </w:r>
      <w:r>
        <w:rPr>
          <w:sz w:val="21"/>
          <w:szCs w:val="21"/>
        </w:rPr>
        <w:t xml:space="preserve"> und Entwicklung) Grundkompetenzen ermittelt, in diesem Fall </w:t>
      </w:r>
      <w:r>
        <w:rPr>
          <w:sz w:val="21"/>
          <w:szCs w:val="21"/>
        </w:rPr>
        <w:t>von Erwachsenen</w:t>
      </w:r>
      <w:r>
        <w:rPr>
          <w:sz w:val="21"/>
          <w:szCs w:val="21"/>
        </w:rPr>
        <w:t xml:space="preserve">.[1] Es zeigen sich deutliche Parallelen zu PISA, insbesondere das "leichtunterdurchschnittliche Abschneiden von Deutschland in der Lesekompetenz, </w:t>
      </w:r>
      <w:r>
        <w:rPr>
          <w:sz w:val="21"/>
          <w:szCs w:val="21"/>
        </w:rPr>
        <w:t>verursacht durch</w:t>
      </w:r>
      <w:r>
        <w:rPr>
          <w:sz w:val="21"/>
          <w:szCs w:val="21"/>
        </w:rPr>
        <w:t xml:space="preserve"> überdurchschnittliche Schwächen im unteren Leistungsbereich, und ein </w:t>
      </w:r>
      <w:r>
        <w:rPr>
          <w:sz w:val="21"/>
          <w:szCs w:val="21"/>
        </w:rPr>
        <w:t>auffallend hoher</w:t>
      </w:r>
      <w:r>
        <w:rPr>
          <w:sz w:val="21"/>
          <w:szCs w:val="21"/>
        </w:rPr>
        <w:t xml:space="preserve"> Zusammenhang der Kompetenzen mit der sozialen Herkunft entsprechen </w:t>
      </w:r>
      <w:r>
        <w:rPr>
          <w:sz w:val="21"/>
          <w:szCs w:val="21"/>
        </w:rPr>
        <w:t>den Befunden</w:t>
      </w:r>
      <w:r>
        <w:rPr>
          <w:sz w:val="21"/>
          <w:szCs w:val="21"/>
        </w:rPr>
        <w:t xml:space="preserve"> von PISA 2000".[2] 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Wie groß der Anteil der Menschen ist, deren vorhandene Kompetenzen niedriger sind, </w:t>
      </w:r>
      <w:r>
        <w:rPr>
          <w:sz w:val="21"/>
          <w:szCs w:val="21"/>
        </w:rPr>
        <w:t>als die</w:t>
      </w:r>
      <w:r>
        <w:rPr>
          <w:sz w:val="21"/>
          <w:szCs w:val="21"/>
        </w:rPr>
        <w:t xml:space="preserve"> von der Gesellschaft erwarteten, ist nicht leicht zu bestimmen. Denn Literalität </w:t>
      </w:r>
      <w:r>
        <w:rPr>
          <w:sz w:val="21"/>
          <w:szCs w:val="21"/>
        </w:rPr>
        <w:t>ist relational</w:t>
      </w:r>
      <w:r>
        <w:rPr>
          <w:sz w:val="21"/>
          <w:szCs w:val="21"/>
        </w:rPr>
        <w:t xml:space="preserve">. Die Anforderungen an Schriftsprachlichkeit sind historisch und kulturell </w:t>
      </w:r>
      <w:r>
        <w:rPr>
          <w:sz w:val="21"/>
          <w:szCs w:val="21"/>
        </w:rPr>
        <w:t>variabel. Sie</w:t>
      </w:r>
      <w:r>
        <w:rPr>
          <w:sz w:val="21"/>
          <w:szCs w:val="21"/>
        </w:rPr>
        <w:t xml:space="preserve"> haben sich in den vergangenen Jahren insbesondere durch die Verbreitung digitalverarbeiteter Schrift deutlich erhöht. Der gesellschaftliche Wandel kann somit als ein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Bedingungsfaktor des funktionalen Analphabetismus beschrieben werden.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Bezüglich der Größenordnung legten die Bildungsstudien der vergangenen Jahre </w:t>
      </w:r>
      <w:r>
        <w:rPr>
          <w:sz w:val="21"/>
          <w:szCs w:val="21"/>
        </w:rPr>
        <w:t>erstmals belastbare</w:t>
      </w:r>
      <w:r>
        <w:rPr>
          <w:sz w:val="21"/>
          <w:szCs w:val="21"/>
        </w:rPr>
        <w:t xml:space="preserve"> Daten vor. Die Level-</w:t>
      </w:r>
      <w:proofErr w:type="spellStart"/>
      <w:r>
        <w:rPr>
          <w:sz w:val="21"/>
          <w:szCs w:val="21"/>
        </w:rPr>
        <w:t>One</w:t>
      </w:r>
      <w:proofErr w:type="spellEnd"/>
      <w:r>
        <w:rPr>
          <w:sz w:val="21"/>
          <w:szCs w:val="21"/>
        </w:rPr>
        <w:t xml:space="preserve">-Studie der Universität Hamburg offenbarte, </w:t>
      </w:r>
      <w:r>
        <w:rPr>
          <w:sz w:val="21"/>
          <w:szCs w:val="21"/>
        </w:rPr>
        <w:t>dass etwa</w:t>
      </w:r>
      <w:r>
        <w:rPr>
          <w:sz w:val="21"/>
          <w:szCs w:val="21"/>
        </w:rPr>
        <w:t xml:space="preserve"> 4,4 Prozent der Bevölkerung maximal Wörter, aber keine Sätze lesen können (Alpha-Level 1+2, </w:t>
      </w:r>
      <w:r>
        <w:rPr>
          <w:i/>
          <w:iCs/>
          <w:sz w:val="21"/>
          <w:szCs w:val="21"/>
        </w:rPr>
        <w:t>vgl. Abbildung 1 in der PDF-Version</w:t>
      </w:r>
      <w:r>
        <w:rPr>
          <w:sz w:val="21"/>
          <w:szCs w:val="21"/>
        </w:rPr>
        <w:t xml:space="preserve">).[3] Weitere zehn Prozent der </w:t>
      </w:r>
      <w:r>
        <w:rPr>
          <w:sz w:val="21"/>
          <w:szCs w:val="21"/>
        </w:rPr>
        <w:t>Bevölkerung können</w:t>
      </w:r>
      <w:r>
        <w:rPr>
          <w:sz w:val="21"/>
          <w:szCs w:val="21"/>
        </w:rPr>
        <w:t xml:space="preserve"> zwar mit kurzen Sätzen umgehen, scheitern aber an Texten und vermeiden </w:t>
      </w:r>
      <w:r>
        <w:rPr>
          <w:sz w:val="21"/>
          <w:szCs w:val="21"/>
        </w:rPr>
        <w:t>diese daher</w:t>
      </w:r>
      <w:r>
        <w:rPr>
          <w:sz w:val="21"/>
          <w:szCs w:val="21"/>
        </w:rPr>
        <w:t xml:space="preserve"> (Alpha-Level 3).[4] Die Größenordnung des funktionalen Analphabetismus </w:t>
      </w:r>
      <w:r>
        <w:rPr>
          <w:sz w:val="21"/>
          <w:szCs w:val="21"/>
        </w:rPr>
        <w:t>in Deutschland</w:t>
      </w:r>
      <w:r>
        <w:rPr>
          <w:sz w:val="21"/>
          <w:szCs w:val="21"/>
        </w:rPr>
        <w:t xml:space="preserve"> liegt somit bei 14,5 Prozent der erwachsenen Bevölkerung beziehungsweisebei 7,5 Millionen Menschen. Um dies zu veranschaulichen: Das ist mehr als jede </w:t>
      </w:r>
      <w:r>
        <w:rPr>
          <w:sz w:val="21"/>
          <w:szCs w:val="21"/>
        </w:rPr>
        <w:t>einzelne deutsche</w:t>
      </w:r>
      <w:r>
        <w:rPr>
          <w:sz w:val="21"/>
          <w:szCs w:val="21"/>
        </w:rPr>
        <w:t xml:space="preserve"> Stadt Einwohner hat. Das ist sogar mehr als die Einwohner der fünfbevölkerungsreichsten Städte Deutschlands – Berlin, Hamburg, München, Köln </w:t>
      </w:r>
      <w:r>
        <w:rPr>
          <w:sz w:val="21"/>
          <w:szCs w:val="21"/>
        </w:rPr>
        <w:t>und Frankfurt</w:t>
      </w:r>
      <w:r>
        <w:rPr>
          <w:sz w:val="21"/>
          <w:szCs w:val="21"/>
        </w:rPr>
        <w:t xml:space="preserve"> am Main – zusammen.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Der Anteil der Männer an der Gesamtgruppe ist leicht größer als der der </w:t>
      </w:r>
      <w:r>
        <w:rPr>
          <w:sz w:val="21"/>
          <w:szCs w:val="21"/>
        </w:rPr>
        <w:t>Frauen. Überraschend</w:t>
      </w:r>
      <w:r>
        <w:rPr>
          <w:sz w:val="21"/>
          <w:szCs w:val="21"/>
        </w:rPr>
        <w:t xml:space="preserve"> ist die Erkenntnis, dass das Niveau der Literalität mit dem Alter </w:t>
      </w:r>
      <w:r>
        <w:rPr>
          <w:sz w:val="21"/>
          <w:szCs w:val="21"/>
        </w:rPr>
        <w:t>abnimmt. Die</w:t>
      </w:r>
      <w:r>
        <w:rPr>
          <w:sz w:val="21"/>
          <w:szCs w:val="21"/>
        </w:rPr>
        <w:t xml:space="preserve"> jüngeren Jahrgänge (18 bis 29 Jahre) verfügen tendenziell über leicht </w:t>
      </w:r>
      <w:r>
        <w:rPr>
          <w:sz w:val="21"/>
          <w:szCs w:val="21"/>
        </w:rPr>
        <w:t>größere schriftliche</w:t>
      </w:r>
      <w:r>
        <w:rPr>
          <w:sz w:val="21"/>
          <w:szCs w:val="21"/>
        </w:rPr>
        <w:t xml:space="preserve"> Kompetenzen als die älteren. Ein Befund, der sich mit der PIAAC-Studie </w:t>
      </w:r>
      <w:r>
        <w:rPr>
          <w:sz w:val="21"/>
          <w:szCs w:val="21"/>
        </w:rPr>
        <w:t>deckt, aber</w:t>
      </w:r>
      <w:r>
        <w:rPr>
          <w:sz w:val="21"/>
          <w:szCs w:val="21"/>
        </w:rPr>
        <w:t xml:space="preserve"> im Widerspruch zur derzeit oft vorgebrachten Klage über abnehmende Lese- und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Rechtschreibkompetenzen jüngerer Menschen steht.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Übrigens besitzen weitere 25,9 Prozent (13,3 Millionen) größere Probleme beim </w:t>
      </w:r>
      <w:r>
        <w:rPr>
          <w:sz w:val="21"/>
          <w:szCs w:val="21"/>
        </w:rPr>
        <w:t>Lesen und</w:t>
      </w:r>
      <w:r>
        <w:rPr>
          <w:sz w:val="21"/>
          <w:szCs w:val="21"/>
        </w:rPr>
        <w:t xml:space="preserve"> Rechtschreiben (Alpha-Level 4). Sie gelten zwar nicht als funktionale </w:t>
      </w:r>
      <w:r>
        <w:rPr>
          <w:sz w:val="21"/>
          <w:szCs w:val="21"/>
        </w:rPr>
        <w:t>Analphabeten, doch</w:t>
      </w:r>
      <w:r>
        <w:rPr>
          <w:sz w:val="21"/>
          <w:szCs w:val="21"/>
        </w:rPr>
        <w:t xml:space="preserve"> verschriften sie auch einen geläufigen Wortschatz (Grundschulniveau) </w:t>
      </w:r>
      <w:r>
        <w:rPr>
          <w:sz w:val="21"/>
          <w:szCs w:val="21"/>
        </w:rPr>
        <w:t>sehr fehlerhaft</w:t>
      </w:r>
      <w:r>
        <w:rPr>
          <w:sz w:val="21"/>
          <w:szCs w:val="21"/>
        </w:rPr>
        <w:t xml:space="preserve">. Auch sie profitieren von den Konzepten der Leichten Sprache. Addiert man </w:t>
      </w:r>
      <w:r>
        <w:rPr>
          <w:sz w:val="21"/>
          <w:szCs w:val="21"/>
        </w:rPr>
        <w:t>die zuletzt</w:t>
      </w:r>
      <w:r>
        <w:rPr>
          <w:sz w:val="21"/>
          <w:szCs w:val="21"/>
        </w:rPr>
        <w:t xml:space="preserve"> genannte Gruppe hinzu, stellt Leichte Sprache für über 40 Prozent (über 20 Millionen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Menschen) der gesamten erwachsenen Bevölkerung eine angemessene Form </w:t>
      </w:r>
      <w:r>
        <w:rPr>
          <w:sz w:val="21"/>
          <w:szCs w:val="21"/>
        </w:rPr>
        <w:t>der Schriftlichkeit</w:t>
      </w:r>
      <w:r>
        <w:rPr>
          <w:sz w:val="21"/>
          <w:szCs w:val="21"/>
        </w:rPr>
        <w:t xml:space="preserve"> dar. Geringe Schriftkompetenzen sind mithin kein Randphänomen, </w:t>
      </w:r>
      <w:r>
        <w:rPr>
          <w:sz w:val="21"/>
          <w:szCs w:val="21"/>
        </w:rPr>
        <w:t>sondern ein</w:t>
      </w:r>
      <w:r>
        <w:rPr>
          <w:sz w:val="21"/>
          <w:szCs w:val="21"/>
        </w:rPr>
        <w:t xml:space="preserve"> bedeutendes gesellschaftliches Thema.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Dabei scheint geringe Literalität sozial "vererbt" zu werden. Nicht nur der </w:t>
      </w:r>
      <w:r>
        <w:rPr>
          <w:sz w:val="21"/>
          <w:szCs w:val="21"/>
        </w:rPr>
        <w:t>eigene Schulabschluss</w:t>
      </w:r>
      <w:r>
        <w:rPr>
          <w:sz w:val="21"/>
          <w:szCs w:val="21"/>
        </w:rPr>
        <w:t>, sondern auch der Schulabschluss der Eltern ist gemäß der Level-</w:t>
      </w:r>
      <w:proofErr w:type="spellStart"/>
      <w:r>
        <w:rPr>
          <w:sz w:val="21"/>
          <w:szCs w:val="21"/>
        </w:rPr>
        <w:t>One</w:t>
      </w:r>
      <w:proofErr w:type="spellEnd"/>
      <w:r>
        <w:rPr>
          <w:sz w:val="21"/>
          <w:szCs w:val="21"/>
        </w:rPr>
        <w:t xml:space="preserve">-Studie ein relevanter Prädiktor für Illiteralität. Während in der Bevölkerung insgesamt </w:t>
      </w:r>
      <w:r>
        <w:rPr>
          <w:sz w:val="21"/>
          <w:szCs w:val="21"/>
        </w:rPr>
        <w:t>nur drei</w:t>
      </w:r>
      <w:r>
        <w:rPr>
          <w:sz w:val="21"/>
          <w:szCs w:val="21"/>
        </w:rPr>
        <w:t xml:space="preserve"> Prozent der Personen in Elternhäusern aufgewachsen ist, in denen weder Mutter </w:t>
      </w:r>
      <w:r>
        <w:rPr>
          <w:sz w:val="21"/>
          <w:szCs w:val="21"/>
        </w:rPr>
        <w:t>noch Vater</w:t>
      </w:r>
      <w:r>
        <w:rPr>
          <w:sz w:val="21"/>
          <w:szCs w:val="21"/>
        </w:rPr>
        <w:t xml:space="preserve"> einen Schulabschluss haben, liegt dieser Anteil unter </w:t>
      </w:r>
      <w:proofErr w:type="spellStart"/>
      <w:r>
        <w:rPr>
          <w:sz w:val="21"/>
          <w:szCs w:val="21"/>
        </w:rPr>
        <w:t>Illiteralen</w:t>
      </w:r>
      <w:proofErr w:type="spellEnd"/>
      <w:r>
        <w:rPr>
          <w:sz w:val="21"/>
          <w:szCs w:val="21"/>
        </w:rPr>
        <w:t xml:space="preserve"> mit zwölf Prozentviermal so hoch.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Wer nun glaubt, dass es sich bei den 14,5 Prozent der sehr gering literalisierten Personenaus der Level-</w:t>
      </w:r>
      <w:proofErr w:type="spellStart"/>
      <w:r>
        <w:rPr>
          <w:sz w:val="21"/>
          <w:szCs w:val="21"/>
        </w:rPr>
        <w:t>One</w:t>
      </w:r>
      <w:proofErr w:type="spellEnd"/>
      <w:r>
        <w:rPr>
          <w:sz w:val="21"/>
          <w:szCs w:val="21"/>
        </w:rPr>
        <w:t xml:space="preserve">-Studie vornehmlich um Menschen mit einer Zuwanderungsgeschichtehandelt, der irrt. Zwar ist der Anteil der mehrsprachigen Menschen im Vergleich </w:t>
      </w:r>
      <w:r w:rsidR="00C77D7F">
        <w:rPr>
          <w:sz w:val="21"/>
          <w:szCs w:val="21"/>
        </w:rPr>
        <w:t>zur Verteilung</w:t>
      </w:r>
      <w:r>
        <w:rPr>
          <w:sz w:val="21"/>
          <w:szCs w:val="21"/>
        </w:rPr>
        <w:t xml:space="preserve"> in der Gesamtbevölkerung überproportional, doch für die Mehrheit </w:t>
      </w:r>
      <w:r w:rsidR="00C77D7F">
        <w:rPr>
          <w:sz w:val="21"/>
          <w:szCs w:val="21"/>
        </w:rPr>
        <w:t>der Betroffenen</w:t>
      </w:r>
      <w:r>
        <w:rPr>
          <w:sz w:val="21"/>
          <w:szCs w:val="21"/>
        </w:rPr>
        <w:t xml:space="preserve"> (58 Prozent) ist Deutsch die Muttersprache. Zudem wurden in die </w:t>
      </w:r>
      <w:r w:rsidR="00C77D7F">
        <w:rPr>
          <w:sz w:val="21"/>
          <w:szCs w:val="21"/>
        </w:rPr>
        <w:t>Stichprobe der</w:t>
      </w:r>
      <w:r>
        <w:rPr>
          <w:sz w:val="21"/>
          <w:szCs w:val="21"/>
        </w:rPr>
        <w:t xml:space="preserve"> Studie nur Personen aufgenommen, welche die deutsche Sprache mündlich </w:t>
      </w:r>
      <w:r>
        <w:rPr>
          <w:sz w:val="21"/>
          <w:szCs w:val="21"/>
        </w:rPr>
        <w:t>soweit beherrschten</w:t>
      </w:r>
      <w:r>
        <w:rPr>
          <w:sz w:val="21"/>
          <w:szCs w:val="21"/>
        </w:rPr>
        <w:t xml:space="preserve">, dass sie einer Befragung und einem Test folgen können. Rechnete </w:t>
      </w:r>
      <w:r>
        <w:rPr>
          <w:sz w:val="21"/>
          <w:szCs w:val="21"/>
        </w:rPr>
        <w:t>man Zugewanderte</w:t>
      </w:r>
      <w:r>
        <w:rPr>
          <w:sz w:val="21"/>
          <w:szCs w:val="21"/>
        </w:rPr>
        <w:t xml:space="preserve"> ohne ausreichende Sprachkenntnisse des Deutschen hinzu, dürften </w:t>
      </w:r>
      <w:r>
        <w:rPr>
          <w:sz w:val="21"/>
          <w:szCs w:val="21"/>
        </w:rPr>
        <w:t>noch etliche</w:t>
      </w:r>
      <w:r>
        <w:rPr>
          <w:sz w:val="21"/>
          <w:szCs w:val="21"/>
        </w:rPr>
        <w:t xml:space="preserve"> Personen der Zahl von 7,5 Millionen hinzugefügt werden.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Derart geringe Lese- und Schreibkompetenzen sind gesellschaftlich aus </w:t>
      </w:r>
      <w:r>
        <w:rPr>
          <w:sz w:val="21"/>
          <w:szCs w:val="21"/>
        </w:rPr>
        <w:t>mehreren Gründen</w:t>
      </w:r>
      <w:r>
        <w:rPr>
          <w:sz w:val="21"/>
          <w:szCs w:val="21"/>
        </w:rPr>
        <w:t xml:space="preserve"> problematisch. Zum einen bedeutet dieses Ausmaß an geringer Grundbildung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einen ökonomischen Nachteil. Wie groß der volkswirtschaftliche Schaden ist, der </w:t>
      </w:r>
      <w:r>
        <w:rPr>
          <w:sz w:val="21"/>
          <w:szCs w:val="21"/>
        </w:rPr>
        <w:t>durch zu</w:t>
      </w:r>
      <w:r>
        <w:rPr>
          <w:sz w:val="21"/>
          <w:szCs w:val="21"/>
        </w:rPr>
        <w:t xml:space="preserve"> geringe Lese- und Schreibkompetenzen entsteht, wurde in Deutschland noch nichtexplizit untersucht. Entsprechende Studien in vergleichbaren Industrienationen lassendarauf schließen, dass eine Zahl von mehreren Milliarden Euro pro Jahr durchausrealistisch ist.</w:t>
      </w: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21"/>
          <w:szCs w:val="21"/>
        </w:rPr>
      </w:pP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Regeln der Leichten Sprache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Leichte Sprache folgt dem Prinzip der maximalen sprachlichen Einfachheit. </w:t>
      </w:r>
      <w:r>
        <w:rPr>
          <w:sz w:val="21"/>
          <w:szCs w:val="21"/>
        </w:rPr>
        <w:t>Mittlerweile existieren</w:t>
      </w:r>
      <w:r>
        <w:rPr>
          <w:sz w:val="21"/>
          <w:szCs w:val="21"/>
        </w:rPr>
        <w:t xml:space="preserve"> mehrere Veröffentlichungen, die entsprechende sprachliche </w:t>
      </w:r>
      <w:r>
        <w:rPr>
          <w:sz w:val="21"/>
          <w:szCs w:val="21"/>
        </w:rPr>
        <w:t>Regeln spezifizieren</w:t>
      </w:r>
      <w:r>
        <w:rPr>
          <w:sz w:val="21"/>
          <w:szCs w:val="21"/>
        </w:rPr>
        <w:t>. Die wichtigsten Regeln werden nachfolgend skizziert.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Lexik: </w:t>
      </w:r>
    </w:p>
    <w:p w:rsidR="00D85692" w:rsidRDefault="00D85692" w:rsidP="00D8569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Morphologie: </w:t>
      </w:r>
      <w:r>
        <w:rPr>
          <w:sz w:val="21"/>
          <w:szCs w:val="21"/>
        </w:rPr>
        <w:t xml:space="preserve">• leicht verständliche, anschauliche, vertraute oder einfache Wörter • Abstrakta möglichst umgehen • Fach- und Fremdwörter, Abkürzungen sowie Redewendungen und Metaphern vermeiden 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• kurze Wörter benutzen 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• Komposita mit Bindestrichen trennen 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Syntax und Morphosyntax: 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Nicht alle Regeln können gleichzeitig berücksichtigt werden. In der Praxis gilt es meistabzuwägen, welchem Prinzip der Vortritt zu gewähren ist. Auch sind einige </w:t>
      </w:r>
      <w:r>
        <w:rPr>
          <w:color w:val="auto"/>
          <w:sz w:val="21"/>
          <w:szCs w:val="21"/>
        </w:rPr>
        <w:t>Regeln durchaus</w:t>
      </w:r>
      <w:r>
        <w:rPr>
          <w:color w:val="auto"/>
          <w:sz w:val="21"/>
          <w:szCs w:val="21"/>
        </w:rPr>
        <w:t xml:space="preserve"> umstritten. So ist die Aneinanderreihung kurzer Sätze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unverständlich, wenn keine Kohärenz zwischen den Sätzen hergestellt wird. In </w:t>
      </w:r>
      <w:r>
        <w:rPr>
          <w:color w:val="auto"/>
          <w:sz w:val="21"/>
          <w:szCs w:val="21"/>
        </w:rPr>
        <w:t>Ergänzung der</w:t>
      </w:r>
      <w:r>
        <w:rPr>
          <w:color w:val="auto"/>
          <w:sz w:val="21"/>
          <w:szCs w:val="21"/>
        </w:rPr>
        <w:t xml:space="preserve"> genannten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linguistischen Aspekte ist zudem auf eine lesefreundliche Darbietung des Textes zu achten(wie große, klare Schrift, möglichst jeder Satz in einer neuen Zeile, bei längeren Texten</w:t>
      </w:r>
      <w:r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Zwischenüberschriften einfügen).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Neben der Leichten Sprache existieren verwandte Konzepte. Die Einfache oder </w:t>
      </w:r>
      <w:r>
        <w:rPr>
          <w:color w:val="auto"/>
          <w:sz w:val="21"/>
          <w:szCs w:val="21"/>
        </w:rPr>
        <w:t>die Verständliche</w:t>
      </w:r>
      <w:r>
        <w:rPr>
          <w:color w:val="auto"/>
          <w:sz w:val="21"/>
          <w:szCs w:val="21"/>
        </w:rPr>
        <w:t xml:space="preserve"> Sprache, wie sie in der Bürger-Verwaltung-Kommunikation angestrebt </w:t>
      </w:r>
      <w:r>
        <w:rPr>
          <w:color w:val="auto"/>
          <w:sz w:val="21"/>
          <w:szCs w:val="21"/>
        </w:rPr>
        <w:t>wird, ist</w:t>
      </w:r>
      <w:r>
        <w:rPr>
          <w:color w:val="auto"/>
          <w:sz w:val="21"/>
          <w:szCs w:val="21"/>
        </w:rPr>
        <w:t xml:space="preserve"> nicht maximal vereinfacht. Diese Konzepte richten sich an den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Großteil der Bevölkerung und versuchen, das "Behördendeutsch" verständlicher </w:t>
      </w:r>
      <w:proofErr w:type="spellStart"/>
      <w:r>
        <w:rPr>
          <w:color w:val="auto"/>
          <w:sz w:val="21"/>
          <w:szCs w:val="21"/>
        </w:rPr>
        <w:t>zumachen</w:t>
      </w:r>
      <w:proofErr w:type="spellEnd"/>
      <w:r>
        <w:rPr>
          <w:color w:val="auto"/>
          <w:sz w:val="21"/>
          <w:szCs w:val="21"/>
        </w:rPr>
        <w:t xml:space="preserve">. Leichte Sprache hingegen spricht vor allem diejenigen an, die </w:t>
      </w:r>
      <w:r>
        <w:rPr>
          <w:color w:val="auto"/>
          <w:sz w:val="21"/>
          <w:szCs w:val="21"/>
        </w:rPr>
        <w:t>besondere Probleme</w:t>
      </w:r>
      <w:r>
        <w:rPr>
          <w:color w:val="auto"/>
          <w:sz w:val="21"/>
          <w:szCs w:val="21"/>
        </w:rPr>
        <w:t xml:space="preserve"> bei der Verarbeitung der geschriebenen Sprache haben.</w:t>
      </w:r>
    </w:p>
    <w:p w:rsidR="00D85692" w:rsidRDefault="00D85692" w:rsidP="00D85692">
      <w:pPr>
        <w:pStyle w:val="Default"/>
        <w:rPr>
          <w:b/>
          <w:bCs/>
          <w:color w:val="auto"/>
          <w:sz w:val="21"/>
          <w:szCs w:val="21"/>
        </w:rPr>
      </w:pP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Literaturhinweis: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Vgl. für eine detaillierte Darstellung der Regeln: Julia Kuhlmann, Zum Konzept der </w:t>
      </w:r>
      <w:r>
        <w:rPr>
          <w:color w:val="auto"/>
          <w:sz w:val="21"/>
          <w:szCs w:val="21"/>
        </w:rPr>
        <w:t>Leichten Sprache</w:t>
      </w:r>
      <w:r>
        <w:rPr>
          <w:color w:val="auto"/>
          <w:sz w:val="21"/>
          <w:szCs w:val="21"/>
        </w:rPr>
        <w:t>. Erkenntnisse aus der Verständlichkeitsforschung. In: Alfa-Forum, (2013) 8, S.11-15.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Niedrige Schriftsprachkompetenz korreliert dabei statistisch signifikant mit dem </w:t>
      </w:r>
      <w:r>
        <w:rPr>
          <w:color w:val="auto"/>
          <w:sz w:val="21"/>
          <w:szCs w:val="21"/>
        </w:rPr>
        <w:t>häufigeren Auftreten</w:t>
      </w:r>
      <w:r>
        <w:rPr>
          <w:color w:val="auto"/>
          <w:sz w:val="21"/>
          <w:szCs w:val="21"/>
        </w:rPr>
        <w:t xml:space="preserve"> diverser Krankheiten und ungesundem Lebensstil. Nach der OECD ergibt </w:t>
      </w:r>
      <w:r>
        <w:rPr>
          <w:color w:val="auto"/>
          <w:sz w:val="21"/>
          <w:szCs w:val="21"/>
        </w:rPr>
        <w:t>sich folgende</w:t>
      </w:r>
      <w:r>
        <w:rPr>
          <w:color w:val="auto"/>
          <w:sz w:val="21"/>
          <w:szCs w:val="21"/>
        </w:rPr>
        <w:t xml:space="preserve"> Korrelation: Ein Land, das bei der Lesekompetenz Erwachsener ein Prozent </w:t>
      </w:r>
      <w:r>
        <w:rPr>
          <w:color w:val="auto"/>
          <w:sz w:val="21"/>
          <w:szCs w:val="21"/>
        </w:rPr>
        <w:t>über dem</w:t>
      </w:r>
      <w:r>
        <w:rPr>
          <w:color w:val="auto"/>
          <w:sz w:val="21"/>
          <w:szCs w:val="21"/>
        </w:rPr>
        <w:t xml:space="preserve"> Durchschnitt liegt, übertrifft andere Länder bei der Arbeitsproduktivität um 2,5 </w:t>
      </w:r>
      <w:r>
        <w:rPr>
          <w:color w:val="auto"/>
          <w:sz w:val="21"/>
          <w:szCs w:val="21"/>
        </w:rPr>
        <w:t>Prozent und</w:t>
      </w:r>
      <w:r>
        <w:rPr>
          <w:color w:val="auto"/>
          <w:sz w:val="21"/>
          <w:szCs w:val="21"/>
        </w:rPr>
        <w:t xml:space="preserve"> beim Brutto-Inlandsprodukt um 1,5 Prozent. Während von politischer Seite </w:t>
      </w:r>
      <w:r>
        <w:rPr>
          <w:color w:val="auto"/>
          <w:sz w:val="21"/>
          <w:szCs w:val="21"/>
        </w:rPr>
        <w:t>bisher meist</w:t>
      </w:r>
      <w:r>
        <w:rPr>
          <w:color w:val="auto"/>
          <w:sz w:val="21"/>
          <w:szCs w:val="21"/>
        </w:rPr>
        <w:t xml:space="preserve"> argumentiert wird, dass für Maßnahmen im Sozial- und Bildungssektor die</w:t>
      </w:r>
      <w:r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finanziellen Ressourcen fehlen, stellt sich aus diesem Blickwinkel eher die Frage, wie </w:t>
      </w:r>
      <w:r>
        <w:rPr>
          <w:color w:val="auto"/>
          <w:sz w:val="21"/>
          <w:szCs w:val="21"/>
        </w:rPr>
        <w:t>lange wir</w:t>
      </w:r>
      <w:r>
        <w:rPr>
          <w:color w:val="auto"/>
          <w:sz w:val="21"/>
          <w:szCs w:val="21"/>
        </w:rPr>
        <w:t xml:space="preserve"> uns den aktuellen Zustand ökonomisch noch leisten können.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Des Weiteren ist geringe Grundbildung im Hinblick auf den gesellschaftlichen</w:t>
      </w:r>
      <w:r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Zusammenhalt in einer Demokratie kritisch zu sehen. So ist beispielsweise belegt, dass</w:t>
      </w:r>
      <w:r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Menschen mit geringer Grundbildung sich weniger für politische Zusammenhängeinteressieren und sich deutlich weniger ehrenamtlich oder in Vereinen engagieren.• kurze, einfache Hauptsätze mit jeweils nur einer Aussage • Perfekt statt Präteritum • kein Konjunktiv, kein Genitiv, kein Passiv, keine Nominalisierungen • bei Pronomen auf eindeutige </w:t>
      </w:r>
      <w:proofErr w:type="spellStart"/>
      <w:r>
        <w:rPr>
          <w:color w:val="auto"/>
          <w:sz w:val="21"/>
          <w:szCs w:val="21"/>
        </w:rPr>
        <w:t>Referentialität</w:t>
      </w:r>
      <w:proofErr w:type="spellEnd"/>
      <w:r>
        <w:rPr>
          <w:color w:val="auto"/>
          <w:sz w:val="21"/>
          <w:szCs w:val="21"/>
        </w:rPr>
        <w:t xml:space="preserve"> achten</w:t>
      </w:r>
      <w:r>
        <w:rPr>
          <w:color w:val="auto"/>
          <w:sz w:val="21"/>
          <w:szCs w:val="21"/>
        </w:rPr>
        <w:t>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</w:p>
    <w:p w:rsidR="00D85692" w:rsidRDefault="00D85692" w:rsidP="00D85692">
      <w:pPr>
        <w:pStyle w:val="Default"/>
        <w:pageBreakBefore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Bedingungsgefüge und Lebenswelt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Mit der PIAAC- und insbesondere der Level-</w:t>
      </w:r>
      <w:proofErr w:type="spellStart"/>
      <w:r>
        <w:rPr>
          <w:color w:val="auto"/>
          <w:sz w:val="21"/>
          <w:szCs w:val="21"/>
        </w:rPr>
        <w:t>One</w:t>
      </w:r>
      <w:proofErr w:type="spellEnd"/>
      <w:r>
        <w:rPr>
          <w:color w:val="auto"/>
          <w:sz w:val="21"/>
          <w:szCs w:val="21"/>
        </w:rPr>
        <w:t xml:space="preserve">-Studie liegt erstmals eine </w:t>
      </w:r>
      <w:r w:rsidR="00C77D7F">
        <w:rPr>
          <w:color w:val="auto"/>
          <w:sz w:val="21"/>
          <w:szCs w:val="21"/>
        </w:rPr>
        <w:t>solide empirische</w:t>
      </w:r>
      <w:r>
        <w:rPr>
          <w:color w:val="auto"/>
          <w:sz w:val="21"/>
          <w:szCs w:val="21"/>
        </w:rPr>
        <w:t xml:space="preserve"> Basis für die bildungspolitische Auseinandersetzung mit dem Phänomen der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Illiteralität vor. Die Daten zur Größenordnung erklären jedoch nicht die Ursachen </w:t>
      </w:r>
      <w:r w:rsidR="00C77D7F">
        <w:rPr>
          <w:color w:val="auto"/>
          <w:sz w:val="21"/>
          <w:szCs w:val="21"/>
        </w:rPr>
        <w:t>des Phänomens</w:t>
      </w:r>
      <w:r>
        <w:rPr>
          <w:color w:val="auto"/>
          <w:sz w:val="21"/>
          <w:szCs w:val="21"/>
        </w:rPr>
        <w:t>. Kausale Gründe existieren nicht. Individuelle, familiäre, schulisch-unterrichtliche und auch gesellschaftliche Faktoren wirken in einem komplexen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Bedingungsgefüge ineinander. Die empirische Bildungsforschung beschreibt </w:t>
      </w:r>
      <w:r w:rsidR="00C77D7F">
        <w:rPr>
          <w:color w:val="auto"/>
          <w:sz w:val="21"/>
          <w:szCs w:val="21"/>
        </w:rPr>
        <w:t>die Ausbildung</w:t>
      </w:r>
      <w:r>
        <w:rPr>
          <w:color w:val="auto"/>
          <w:sz w:val="21"/>
          <w:szCs w:val="21"/>
        </w:rPr>
        <w:t xml:space="preserve"> der Lese- und Schreibfähigkeit als sich bedingende Kombination des </w:t>
      </w:r>
      <w:r w:rsidR="00C77D7F">
        <w:rPr>
          <w:color w:val="auto"/>
          <w:sz w:val="21"/>
          <w:szCs w:val="21"/>
        </w:rPr>
        <w:t>sozialen und</w:t>
      </w:r>
      <w:r>
        <w:rPr>
          <w:color w:val="auto"/>
          <w:sz w:val="21"/>
          <w:szCs w:val="21"/>
        </w:rPr>
        <w:t xml:space="preserve"> kulturellen Kapitals mit kognitiven und emotional-motivationalen Merkmalen </w:t>
      </w:r>
      <w:r w:rsidR="00C77D7F">
        <w:rPr>
          <w:color w:val="auto"/>
          <w:sz w:val="21"/>
          <w:szCs w:val="21"/>
        </w:rPr>
        <w:t>der Einzelnen</w:t>
      </w:r>
      <w:r>
        <w:rPr>
          <w:color w:val="auto"/>
          <w:sz w:val="21"/>
          <w:szCs w:val="21"/>
        </w:rPr>
        <w:t xml:space="preserve"> sowie schulischen und unterrichtlichen Merkmalen.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Ausgangspunkt von Problemen beim Erwerb der Schriftsprache ist meist ein </w:t>
      </w:r>
      <w:r w:rsidR="00C77D7F">
        <w:rPr>
          <w:color w:val="auto"/>
          <w:sz w:val="21"/>
          <w:szCs w:val="21"/>
        </w:rPr>
        <w:t>Aufwachsen in</w:t>
      </w:r>
      <w:r>
        <w:rPr>
          <w:color w:val="auto"/>
          <w:sz w:val="21"/>
          <w:szCs w:val="21"/>
        </w:rPr>
        <w:t xml:space="preserve"> sozioökonomischer Unsicherheit innerhalb eines familiären Rahmens, der sich </w:t>
      </w:r>
      <w:r w:rsidR="00C77D7F">
        <w:rPr>
          <w:color w:val="auto"/>
          <w:sz w:val="21"/>
          <w:szCs w:val="21"/>
        </w:rPr>
        <w:t>durch ein</w:t>
      </w:r>
      <w:r>
        <w:rPr>
          <w:color w:val="auto"/>
          <w:sz w:val="21"/>
          <w:szCs w:val="21"/>
        </w:rPr>
        <w:t xml:space="preserve"> geringes Maß sozialen und kulturellen Kapitals auszeichnet. Das Elternhaus ist häufig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bildungsfern und wenig </w:t>
      </w:r>
      <w:proofErr w:type="spellStart"/>
      <w:r>
        <w:rPr>
          <w:color w:val="auto"/>
          <w:sz w:val="21"/>
          <w:szCs w:val="21"/>
        </w:rPr>
        <w:t>literal</w:t>
      </w:r>
      <w:proofErr w:type="spellEnd"/>
      <w:r>
        <w:rPr>
          <w:color w:val="auto"/>
          <w:sz w:val="21"/>
          <w:szCs w:val="21"/>
        </w:rPr>
        <w:t xml:space="preserve">. Doch frühe Erfahrungen mit Sprache und Schrift in </w:t>
      </w:r>
      <w:r w:rsidR="00C77D7F">
        <w:rPr>
          <w:color w:val="auto"/>
          <w:sz w:val="21"/>
          <w:szCs w:val="21"/>
        </w:rPr>
        <w:t>der Familie</w:t>
      </w:r>
      <w:r>
        <w:rPr>
          <w:color w:val="auto"/>
          <w:sz w:val="21"/>
          <w:szCs w:val="21"/>
        </w:rPr>
        <w:t xml:space="preserve"> gelten für den weiteren Schulerfolg als besonders bedeutsam. Die </w:t>
      </w:r>
      <w:r w:rsidR="00C77D7F">
        <w:rPr>
          <w:color w:val="auto"/>
          <w:sz w:val="21"/>
          <w:szCs w:val="21"/>
        </w:rPr>
        <w:t>skizzierten Bedingungen</w:t>
      </w:r>
      <w:r>
        <w:rPr>
          <w:color w:val="auto"/>
          <w:sz w:val="21"/>
          <w:szCs w:val="21"/>
        </w:rPr>
        <w:t xml:space="preserve"> verknüpfen sich häufig mit Problemen in der Schule, die schon zu </w:t>
      </w:r>
      <w:r w:rsidR="00C77D7F">
        <w:rPr>
          <w:color w:val="auto"/>
          <w:sz w:val="21"/>
          <w:szCs w:val="21"/>
        </w:rPr>
        <w:t>Beginn der</w:t>
      </w:r>
      <w:r>
        <w:rPr>
          <w:color w:val="auto"/>
          <w:sz w:val="21"/>
          <w:szCs w:val="21"/>
        </w:rPr>
        <w:t xml:space="preserve"> Schulzeit auftreten. Die geringen literalen Erfahrungen führen zu gering </w:t>
      </w:r>
      <w:r w:rsidR="00C77D7F">
        <w:rPr>
          <w:color w:val="auto"/>
          <w:sz w:val="21"/>
          <w:szCs w:val="21"/>
        </w:rPr>
        <w:t>ausgeprägten Teilleistungen</w:t>
      </w:r>
      <w:r>
        <w:rPr>
          <w:color w:val="auto"/>
          <w:sz w:val="21"/>
          <w:szCs w:val="21"/>
        </w:rPr>
        <w:t xml:space="preserve"> sowie einer nur mäßig ausgeprägten Einsicht in Funktion </w:t>
      </w:r>
      <w:r w:rsidR="00C77D7F">
        <w:rPr>
          <w:color w:val="auto"/>
          <w:sz w:val="21"/>
          <w:szCs w:val="21"/>
        </w:rPr>
        <w:t>und Gebrauchswert</w:t>
      </w:r>
      <w:r>
        <w:rPr>
          <w:color w:val="auto"/>
          <w:sz w:val="21"/>
          <w:szCs w:val="21"/>
        </w:rPr>
        <w:t xml:space="preserve"> der Schrift. Entsprechend ist die Motivation, sich dem Prozess des Lesen-und </w:t>
      </w:r>
      <w:proofErr w:type="spellStart"/>
      <w:r>
        <w:rPr>
          <w:color w:val="auto"/>
          <w:sz w:val="21"/>
          <w:szCs w:val="21"/>
        </w:rPr>
        <w:t>Schreibenlernens</w:t>
      </w:r>
      <w:proofErr w:type="spellEnd"/>
      <w:r>
        <w:rPr>
          <w:color w:val="auto"/>
          <w:sz w:val="21"/>
          <w:szCs w:val="21"/>
        </w:rPr>
        <w:t xml:space="preserve"> zu stellen, nur wenig ausgebildet.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Schulische Angebote, die nicht ausreichend auf diese Risikolage eingehen, </w:t>
      </w:r>
      <w:r w:rsidR="00C77D7F">
        <w:rPr>
          <w:color w:val="auto"/>
          <w:sz w:val="21"/>
          <w:szCs w:val="21"/>
        </w:rPr>
        <w:t>verstärken dies</w:t>
      </w:r>
      <w:r>
        <w:rPr>
          <w:color w:val="auto"/>
          <w:sz w:val="21"/>
          <w:szCs w:val="21"/>
        </w:rPr>
        <w:t>. Mit den ersten Schulschwierigkeiten stellen sich begleitend häufig ein negatives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Selbstbild und ein geringes Zutrauen in die eigenen Fähigkeiten ein. Dies wiederum lässt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Lernerfolge immer unwahrscheinlicher werden. Gelingt jedoch der Einstieg in den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Schriftspracherwerb nicht in den ersten Jahren der Grundschule, sieht das </w:t>
      </w:r>
      <w:r w:rsidR="00C77D7F">
        <w:rPr>
          <w:color w:val="auto"/>
          <w:sz w:val="21"/>
          <w:szCs w:val="21"/>
        </w:rPr>
        <w:t>Schulsystem in</w:t>
      </w:r>
      <w:r>
        <w:rPr>
          <w:color w:val="auto"/>
          <w:sz w:val="21"/>
          <w:szCs w:val="21"/>
        </w:rPr>
        <w:t xml:space="preserve"> den höheren Klassen keine weiteren Möglichkeiten vor, die Grundlagen der Schrift zu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erwerben.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Und wenn schließlich nach Beendigung der Schulzeit im Lebens- und Arbeitsumfeld keine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Lernumgebungen vorhanden sind, die ein lebenslanges Lernen unterstützen, gehen </w:t>
      </w:r>
      <w:r w:rsidR="00C77D7F">
        <w:rPr>
          <w:color w:val="auto"/>
          <w:sz w:val="21"/>
          <w:szCs w:val="21"/>
        </w:rPr>
        <w:t>selbst bereits</w:t>
      </w:r>
      <w:r>
        <w:rPr>
          <w:color w:val="auto"/>
          <w:sz w:val="21"/>
          <w:szCs w:val="21"/>
        </w:rPr>
        <w:t xml:space="preserve"> erworbene Fähigkeiten häufig wieder verloren. Aufgrund der unsicheren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Schriftsprachbeherrschung werden schließlich schriftsprachliche Anforderungssituationen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vermieden, wodurch wiederum eine Weiterentwicklung der Kompetenzen durch </w:t>
      </w:r>
      <w:r w:rsidR="00C77D7F">
        <w:rPr>
          <w:color w:val="auto"/>
          <w:sz w:val="21"/>
          <w:szCs w:val="21"/>
        </w:rPr>
        <w:t>ihren Gebrauch</w:t>
      </w:r>
      <w:r>
        <w:rPr>
          <w:color w:val="auto"/>
          <w:sz w:val="21"/>
          <w:szCs w:val="21"/>
        </w:rPr>
        <w:t xml:space="preserve"> verhindert wird. Die Angst vor Stigmatisierung und das fehlende Vertrauen in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die eigenen Fähigkeiten wirken dabei wie ein Monitoring, das den skizzierten Prozessstützt und aufrechterhält.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Dieser prototypische Verlauf wurde in Studien mit Lernenden in Alphabetisierungskursen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gewonnen.[5] Im Fokus stand somit eine kleine, ausgewählte Teilgruppe, da es sich </w:t>
      </w:r>
      <w:r w:rsidR="00C77D7F">
        <w:rPr>
          <w:color w:val="auto"/>
          <w:sz w:val="21"/>
          <w:szCs w:val="21"/>
        </w:rPr>
        <w:t>um Menschen</w:t>
      </w:r>
      <w:r>
        <w:rPr>
          <w:color w:val="auto"/>
          <w:sz w:val="21"/>
          <w:szCs w:val="21"/>
        </w:rPr>
        <w:t xml:space="preserve"> handelt, die bereits eine symbolische Barriere überwunden haben und ihren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Lernprozess aktiv gestalten. Da in parallel laufenden Studien deutliche Unterschiede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hinsichtlich der Arbeitsmarktteilhabe oder der Zufriedenheit mit den eigenen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Schulerfahrungen zwischen der Gesamtgruppe aller gering literalisierten </w:t>
      </w:r>
      <w:r w:rsidR="00C77D7F">
        <w:rPr>
          <w:color w:val="auto"/>
          <w:sz w:val="21"/>
          <w:szCs w:val="21"/>
        </w:rPr>
        <w:t>Erwachsenen und</w:t>
      </w:r>
      <w:r>
        <w:rPr>
          <w:color w:val="auto"/>
          <w:sz w:val="21"/>
          <w:szCs w:val="21"/>
        </w:rPr>
        <w:t xml:space="preserve"> der Teilgruppe der aktuell Lernenden gefunden wurde, gilt es als grundsätzlich </w:t>
      </w:r>
      <w:r w:rsidR="00C77D7F">
        <w:rPr>
          <w:color w:val="auto"/>
          <w:sz w:val="21"/>
          <w:szCs w:val="21"/>
        </w:rPr>
        <w:t>offen, ob</w:t>
      </w:r>
      <w:r>
        <w:rPr>
          <w:color w:val="auto"/>
          <w:sz w:val="21"/>
          <w:szCs w:val="21"/>
        </w:rPr>
        <w:t xml:space="preserve"> das oben aufgezeigte Bedingungsgefüge </w:t>
      </w:r>
      <w:r>
        <w:rPr>
          <w:i/>
          <w:iCs/>
          <w:color w:val="auto"/>
          <w:sz w:val="21"/>
          <w:szCs w:val="21"/>
        </w:rPr>
        <w:t xml:space="preserve">(vgl. Abbildung 2 in der PDF-Version) </w:t>
      </w:r>
      <w:r w:rsidR="00C77D7F">
        <w:rPr>
          <w:color w:val="auto"/>
          <w:sz w:val="21"/>
          <w:szCs w:val="21"/>
        </w:rPr>
        <w:t>auch für</w:t>
      </w:r>
      <w:r>
        <w:rPr>
          <w:color w:val="auto"/>
          <w:sz w:val="21"/>
          <w:szCs w:val="21"/>
        </w:rPr>
        <w:t xml:space="preserve"> die Grundgesamtheit aller </w:t>
      </w:r>
      <w:proofErr w:type="spellStart"/>
      <w:r>
        <w:rPr>
          <w:color w:val="auto"/>
          <w:sz w:val="21"/>
          <w:szCs w:val="21"/>
        </w:rPr>
        <w:t>illiteralen</w:t>
      </w:r>
      <w:proofErr w:type="spellEnd"/>
      <w:r>
        <w:rPr>
          <w:color w:val="auto"/>
          <w:sz w:val="21"/>
          <w:szCs w:val="21"/>
        </w:rPr>
        <w:t xml:space="preserve"> Erwachsenen zutrifft. Die Unterschiedlichkeit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verschiedener sozialer Milieus und Lebensstile lässt vermuten, dass sich durchausunterschiedliche Lebenslagen mit voneinander abweichendem Bedingungsgefüge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identifizieren lassen.[6]</w:t>
      </w:r>
    </w:p>
    <w:p w:rsidR="00D85692" w:rsidRDefault="00D85692" w:rsidP="00D85692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1"/>
          <w:szCs w:val="21"/>
        </w:rPr>
        <w:t xml:space="preserve">Grundsätzlich kann die Entwicklung von Defiziten in der Lese- und Schreibkompetenz </w:t>
      </w:r>
      <w:r w:rsidR="00C77D7F">
        <w:rPr>
          <w:color w:val="auto"/>
          <w:sz w:val="21"/>
          <w:szCs w:val="21"/>
        </w:rPr>
        <w:t>als kontextuell</w:t>
      </w:r>
      <w:r>
        <w:rPr>
          <w:color w:val="auto"/>
          <w:sz w:val="21"/>
          <w:szCs w:val="21"/>
        </w:rPr>
        <w:t xml:space="preserve"> situiert in vielschichtige, benachteiligte Lebenslagen beschrieben werden</w:t>
      </w:r>
      <w:r w:rsidR="00C77D7F">
        <w:rPr>
          <w:color w:val="auto"/>
          <w:sz w:val="21"/>
          <w:szCs w:val="21"/>
        </w:rPr>
        <w:t>.</w:t>
      </w:r>
      <w:r>
        <w:rPr>
          <w:color w:val="auto"/>
          <w:sz w:val="14"/>
          <w:szCs w:val="14"/>
        </w:rPr>
        <w:t xml:space="preserve"> </w:t>
      </w:r>
    </w:p>
    <w:p w:rsidR="008D7687" w:rsidRDefault="008D7687" w:rsidP="00D85692">
      <w:pPr>
        <w:pStyle w:val="Default"/>
        <w:rPr>
          <w:color w:val="auto"/>
          <w:sz w:val="14"/>
          <w:szCs w:val="14"/>
        </w:rPr>
      </w:pPr>
    </w:p>
    <w:p w:rsidR="00D85692" w:rsidRDefault="00D85692" w:rsidP="00D85692">
      <w:pPr>
        <w:pStyle w:val="Default"/>
        <w:pageBreakBefore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Einzelne individuelle, familiäre oder schulische Risikobedingungen lassen sich meist </w:t>
      </w:r>
      <w:r w:rsidR="00C77D7F">
        <w:rPr>
          <w:color w:val="auto"/>
          <w:sz w:val="21"/>
          <w:szCs w:val="21"/>
        </w:rPr>
        <w:t>recht gut</w:t>
      </w:r>
      <w:r>
        <w:rPr>
          <w:color w:val="auto"/>
          <w:sz w:val="21"/>
          <w:szCs w:val="21"/>
        </w:rPr>
        <w:t xml:space="preserve"> ausgleichen. Existieren jedoch risikohafte Bedingungen in mehreren Bereichen, ist </w:t>
      </w:r>
      <w:r w:rsidR="00C77D7F">
        <w:rPr>
          <w:color w:val="auto"/>
          <w:sz w:val="21"/>
          <w:szCs w:val="21"/>
        </w:rPr>
        <w:t>ein solcher</w:t>
      </w:r>
      <w:r>
        <w:rPr>
          <w:color w:val="auto"/>
          <w:sz w:val="21"/>
          <w:szCs w:val="21"/>
        </w:rPr>
        <w:t xml:space="preserve"> Ausgleich nicht mehr ohne </w:t>
      </w:r>
      <w:proofErr w:type="spellStart"/>
      <w:r>
        <w:rPr>
          <w:color w:val="auto"/>
          <w:sz w:val="21"/>
          <w:szCs w:val="21"/>
        </w:rPr>
        <w:t>Weiteres</w:t>
      </w:r>
      <w:proofErr w:type="spellEnd"/>
      <w:r>
        <w:rPr>
          <w:color w:val="auto"/>
          <w:sz w:val="21"/>
          <w:szCs w:val="21"/>
        </w:rPr>
        <w:t xml:space="preserve"> möglich. Illiteralität eines Menschen ist </w:t>
      </w:r>
      <w:r w:rsidR="00C77D7F">
        <w:rPr>
          <w:color w:val="auto"/>
          <w:sz w:val="21"/>
          <w:szCs w:val="21"/>
        </w:rPr>
        <w:t>letztlich ein</w:t>
      </w:r>
      <w:r>
        <w:rPr>
          <w:color w:val="auto"/>
          <w:sz w:val="21"/>
          <w:szCs w:val="21"/>
        </w:rPr>
        <w:t xml:space="preserve"> logisches Produkt seiner Entwicklung unter den für ihn gegebenen Ausgangs- und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Randbedingungen und unter Berücksichtigung der individuell ausgedeuteten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Handlungsoptionen.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Da der Lese- und Schreibfähigkeit in unserer Gesellschaft eine große Bedeutung </w:t>
      </w:r>
      <w:r w:rsidR="00C77D7F">
        <w:rPr>
          <w:color w:val="auto"/>
          <w:sz w:val="21"/>
          <w:szCs w:val="21"/>
        </w:rPr>
        <w:t>zukommt, fürchten</w:t>
      </w:r>
      <w:r>
        <w:rPr>
          <w:color w:val="auto"/>
          <w:sz w:val="21"/>
          <w:szCs w:val="21"/>
        </w:rPr>
        <w:t xml:space="preserve"> die betroffenen Menschen die soziale Stigmatisierung. Diese Furcht führt </w:t>
      </w:r>
      <w:r w:rsidR="00C77D7F">
        <w:rPr>
          <w:color w:val="auto"/>
          <w:sz w:val="21"/>
          <w:szCs w:val="21"/>
        </w:rPr>
        <w:t>zur Vermeidung</w:t>
      </w:r>
      <w:r>
        <w:rPr>
          <w:color w:val="auto"/>
          <w:sz w:val="21"/>
          <w:szCs w:val="21"/>
        </w:rPr>
        <w:t xml:space="preserve"> von Situationen, in denen schriftsprachliches Handeln nötig wird. </w:t>
      </w:r>
      <w:r w:rsidR="00C77D7F">
        <w:rPr>
          <w:color w:val="auto"/>
          <w:sz w:val="21"/>
          <w:szCs w:val="21"/>
        </w:rPr>
        <w:t>Häufig werden</w:t>
      </w:r>
      <w:r>
        <w:rPr>
          <w:color w:val="auto"/>
          <w:sz w:val="21"/>
          <w:szCs w:val="21"/>
        </w:rPr>
        <w:t xml:space="preserve"> dabei Strategien wie Täuschung (wie Brille vergessen, Arm gebrochen, Fingerverstaucht) und Delegation ("Mach du das mal") genutzt. Meist gibt es </w:t>
      </w:r>
      <w:r w:rsidR="00C77D7F">
        <w:rPr>
          <w:color w:val="auto"/>
          <w:sz w:val="21"/>
          <w:szCs w:val="21"/>
        </w:rPr>
        <w:t>ausgewählte Mitwisser</w:t>
      </w:r>
      <w:r>
        <w:rPr>
          <w:color w:val="auto"/>
          <w:sz w:val="21"/>
          <w:szCs w:val="21"/>
        </w:rPr>
        <w:t xml:space="preserve">, die den Betroffenen zur Seite stehen. Erst wenn durch kritische Ereignisse </w:t>
      </w:r>
      <w:r w:rsidR="00C77D7F">
        <w:rPr>
          <w:color w:val="auto"/>
          <w:sz w:val="21"/>
          <w:szCs w:val="21"/>
        </w:rPr>
        <w:t>im Lebenslauf</w:t>
      </w:r>
      <w:r>
        <w:rPr>
          <w:color w:val="auto"/>
          <w:sz w:val="21"/>
          <w:szCs w:val="21"/>
        </w:rPr>
        <w:t xml:space="preserve"> der Handlungsdruck enorm groß geworden ist, wird eine Neuaufnahme </w:t>
      </w:r>
      <w:r w:rsidR="00C77D7F">
        <w:rPr>
          <w:color w:val="auto"/>
          <w:sz w:val="21"/>
          <w:szCs w:val="21"/>
        </w:rPr>
        <w:t>des Lernprozesses</w:t>
      </w:r>
      <w:r>
        <w:rPr>
          <w:color w:val="auto"/>
          <w:sz w:val="21"/>
          <w:szCs w:val="21"/>
        </w:rPr>
        <w:t xml:space="preserve"> angestrebt. Meist geschieht dies in einem gewissen zeitlichen Abstand </w:t>
      </w:r>
      <w:r w:rsidR="00C77D7F">
        <w:rPr>
          <w:color w:val="auto"/>
          <w:sz w:val="21"/>
          <w:szCs w:val="21"/>
        </w:rPr>
        <w:t>zur Schulzeit</w:t>
      </w:r>
      <w:r>
        <w:rPr>
          <w:color w:val="auto"/>
          <w:sz w:val="21"/>
          <w:szCs w:val="21"/>
        </w:rPr>
        <w:t>, etwa im Alter von 30 Jahren.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Insgesamt jedoch ist die Quote der Lernenden in institutionellen Kurszusammenhängen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extrem gering. Von der ermittelten Grundgesamtheit der 7,5 Millionen Menschenbesuchen – je nach Zählweise – 10.500 bis 20.000 Menschen einen</w:t>
      </w:r>
      <w:r w:rsidR="00C77D7F">
        <w:rPr>
          <w:color w:val="auto"/>
          <w:sz w:val="21"/>
          <w:szCs w:val="21"/>
        </w:rPr>
        <w:t xml:space="preserve"> </w:t>
      </w:r>
      <w:r w:rsidR="008D7687">
        <w:rPr>
          <w:color w:val="auto"/>
          <w:sz w:val="21"/>
          <w:szCs w:val="21"/>
        </w:rPr>
        <w:t>Alphabetisierungskurs. [</w:t>
      </w:r>
      <w:r>
        <w:rPr>
          <w:color w:val="auto"/>
          <w:sz w:val="21"/>
          <w:szCs w:val="21"/>
        </w:rPr>
        <w:t xml:space="preserve">7] Das entspricht einer Teilnehmendenquote von 0,26 </w:t>
      </w:r>
      <w:r w:rsidR="00C77D7F">
        <w:rPr>
          <w:color w:val="auto"/>
          <w:sz w:val="21"/>
          <w:szCs w:val="21"/>
        </w:rPr>
        <w:t>Prozent. Über</w:t>
      </w:r>
      <w:r>
        <w:rPr>
          <w:color w:val="auto"/>
          <w:sz w:val="21"/>
          <w:szCs w:val="21"/>
        </w:rPr>
        <w:t xml:space="preserve"> die Frage, warum mehr als 99 Prozent der betroffenen Menschen kein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institutionalisiertes Lernangebot wahrnehmen, lässt sich zurzeit nur mutmaßen. </w:t>
      </w:r>
      <w:r w:rsidR="00C77D7F">
        <w:rPr>
          <w:color w:val="auto"/>
          <w:sz w:val="21"/>
          <w:szCs w:val="21"/>
        </w:rPr>
        <w:t>Sicherlich gibt</w:t>
      </w:r>
      <w:r>
        <w:rPr>
          <w:color w:val="auto"/>
          <w:sz w:val="21"/>
          <w:szCs w:val="21"/>
        </w:rPr>
        <w:t xml:space="preserve"> es Regionen, in denen das entsprechende Grundbildungsangebot nichtflächendeckend ausgebaut ist. Daneben könnte es sein, dass die Lernangebote </w:t>
      </w:r>
      <w:r w:rsidR="00C77D7F">
        <w:rPr>
          <w:color w:val="auto"/>
          <w:sz w:val="21"/>
          <w:szCs w:val="21"/>
        </w:rPr>
        <w:t>den Betroffenen</w:t>
      </w:r>
      <w:r>
        <w:rPr>
          <w:color w:val="auto"/>
          <w:sz w:val="21"/>
          <w:szCs w:val="21"/>
        </w:rPr>
        <w:t xml:space="preserve"> trotz der vermehrten Öffentlichkeitsarbeit nicht ausreichend bekannt </w:t>
      </w:r>
      <w:r w:rsidR="00C77D7F">
        <w:rPr>
          <w:color w:val="auto"/>
          <w:sz w:val="21"/>
          <w:szCs w:val="21"/>
        </w:rPr>
        <w:t>sind. Vermutlich</w:t>
      </w:r>
      <w:r>
        <w:rPr>
          <w:color w:val="auto"/>
          <w:sz w:val="21"/>
          <w:szCs w:val="21"/>
        </w:rPr>
        <w:t xml:space="preserve"> ist es aber auch so, dass die Menschen, die zudem partiell über negative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Schulerfahrungen verfügen, sich scheuen, Beratung und Kurse aufzusuchen und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entsprechende Bildungsdefizite offenzulegen. Zu dieser symbolischen Hürde gesellt </w:t>
      </w:r>
      <w:r w:rsidR="00C77D7F">
        <w:rPr>
          <w:color w:val="auto"/>
          <w:sz w:val="21"/>
          <w:szCs w:val="21"/>
        </w:rPr>
        <w:t>sich wahrscheinlich</w:t>
      </w:r>
      <w:r>
        <w:rPr>
          <w:color w:val="auto"/>
          <w:sz w:val="21"/>
          <w:szCs w:val="21"/>
        </w:rPr>
        <w:t xml:space="preserve"> die Tatsache, dass sich die Betroffenen subjektiv nicht eingeschränkt </w:t>
      </w:r>
      <w:r w:rsidR="00C77D7F">
        <w:rPr>
          <w:color w:val="auto"/>
          <w:sz w:val="21"/>
          <w:szCs w:val="21"/>
        </w:rPr>
        <w:t>fühlen und</w:t>
      </w:r>
      <w:r>
        <w:rPr>
          <w:color w:val="auto"/>
          <w:sz w:val="21"/>
          <w:szCs w:val="21"/>
        </w:rPr>
        <w:t xml:space="preserve"> sich mit den vorhandenen Teilhabemöglichkeiten zufrieden </w:t>
      </w:r>
      <w:r w:rsidR="008D7687">
        <w:rPr>
          <w:color w:val="auto"/>
          <w:sz w:val="21"/>
          <w:szCs w:val="21"/>
        </w:rPr>
        <w:t>geben. [</w:t>
      </w:r>
      <w:r>
        <w:rPr>
          <w:color w:val="auto"/>
          <w:sz w:val="21"/>
          <w:szCs w:val="21"/>
        </w:rPr>
        <w:t xml:space="preserve">8] Vieles </w:t>
      </w:r>
      <w:r w:rsidR="00C77D7F">
        <w:rPr>
          <w:color w:val="auto"/>
          <w:sz w:val="21"/>
          <w:szCs w:val="21"/>
        </w:rPr>
        <w:t>deutet darauf</w:t>
      </w:r>
      <w:r>
        <w:rPr>
          <w:color w:val="auto"/>
          <w:sz w:val="21"/>
          <w:szCs w:val="21"/>
        </w:rPr>
        <w:t xml:space="preserve"> hin, dass die Betroffenen sich in einem Leben ohne Schrift arrangiert haben.</w:t>
      </w:r>
    </w:p>
    <w:p w:rsidR="00D85692" w:rsidRDefault="00D85692" w:rsidP="00D85692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1"/>
          <w:szCs w:val="21"/>
        </w:rPr>
        <w:t xml:space="preserve">Trotz der vorhandenen Lese- und Schreibprobleme gelingt mehr als der Hälfte </w:t>
      </w:r>
      <w:r w:rsidR="00C77D7F">
        <w:rPr>
          <w:color w:val="auto"/>
          <w:sz w:val="21"/>
          <w:szCs w:val="21"/>
        </w:rPr>
        <w:t>der Betroffenen</w:t>
      </w:r>
      <w:r>
        <w:rPr>
          <w:color w:val="auto"/>
          <w:sz w:val="21"/>
          <w:szCs w:val="21"/>
        </w:rPr>
        <w:t xml:space="preserve"> die Teilhabe am Arbeitsleben, wobei diese Teilhabequote mit einem steigenden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Alpha-Level korreliert. Eine solche Teilhabe gelingt den Menschen, weil die literalen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Anforderungen an einem Arbeitsplatz sehr berufsspezifisch sind. Sie unterscheiden sich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je nach Branche und konkreter Tätigkeit und lassen sich nicht mit allgemeinen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Literalitätsstandards vergleichen. Die Betroffenen kommen mit den spezifischen</w:t>
      </w:r>
      <w:r w:rsidR="00C77D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Anforderungen zurecht. Allerdings treten nur die wenigsten in stabile Erwerbskarrieren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ein.[9] Ihr Verdienst ist unterdurchschnittlich, die Mehrheit der Betroffenen findet Arbeit im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Niedriglohnsektor. Die finanzielle Lage der Betroffenen ist somit prekär, denn der </w:t>
      </w:r>
      <w:r w:rsidR="008D7687">
        <w:rPr>
          <w:color w:val="auto"/>
          <w:sz w:val="21"/>
          <w:szCs w:val="21"/>
        </w:rPr>
        <w:t>Bedarf an</w:t>
      </w:r>
      <w:r>
        <w:rPr>
          <w:color w:val="auto"/>
          <w:sz w:val="21"/>
          <w:szCs w:val="21"/>
        </w:rPr>
        <w:t xml:space="preserve"> gering- und unqualifizierten Personen sinkt stetig. Zudem erweisen sich heutige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Arbeitsbedingungen in zunehmendem Maße grundsätzlich als diskontinuierlich </w:t>
      </w:r>
      <w:r w:rsidR="008D7687">
        <w:rPr>
          <w:color w:val="auto"/>
          <w:sz w:val="21"/>
          <w:szCs w:val="21"/>
        </w:rPr>
        <w:t>und flexibel</w:t>
      </w:r>
      <w:r>
        <w:rPr>
          <w:color w:val="auto"/>
          <w:sz w:val="21"/>
          <w:szCs w:val="21"/>
        </w:rPr>
        <w:t xml:space="preserve">, was sich in befristeten Beschäftigungen, Leiharbeitsverhältnissen </w:t>
      </w:r>
      <w:r w:rsidR="008D7687">
        <w:rPr>
          <w:color w:val="auto"/>
          <w:sz w:val="21"/>
          <w:szCs w:val="21"/>
        </w:rPr>
        <w:t>oder Teilzeitarbeit</w:t>
      </w:r>
      <w:r>
        <w:rPr>
          <w:color w:val="auto"/>
          <w:sz w:val="21"/>
          <w:szCs w:val="21"/>
        </w:rPr>
        <w:t xml:space="preserve"> ausdrückt. Auch die PIAAC-Studie geht davon aus, dass diese Personen </w:t>
      </w:r>
      <w:r w:rsidR="008D7687">
        <w:rPr>
          <w:color w:val="auto"/>
          <w:sz w:val="21"/>
          <w:szCs w:val="21"/>
        </w:rPr>
        <w:t>nur geringe</w:t>
      </w:r>
      <w:r>
        <w:rPr>
          <w:color w:val="auto"/>
          <w:sz w:val="21"/>
          <w:szCs w:val="21"/>
        </w:rPr>
        <w:t xml:space="preserve"> Chancen auf eine fachliche Ausbildung oder auf einen kognitiv </w:t>
      </w:r>
      <w:r w:rsidR="008D7687">
        <w:rPr>
          <w:color w:val="auto"/>
          <w:sz w:val="21"/>
          <w:szCs w:val="21"/>
        </w:rPr>
        <w:t>herausfordernden und</w:t>
      </w:r>
      <w:r>
        <w:rPr>
          <w:color w:val="auto"/>
          <w:sz w:val="21"/>
          <w:szCs w:val="21"/>
        </w:rPr>
        <w:t xml:space="preserve"> anregenden Arbeitsplatz haben. Zudem sind sie vergleichsweise wenig </w:t>
      </w:r>
      <w:r w:rsidR="008D7687">
        <w:rPr>
          <w:color w:val="auto"/>
          <w:sz w:val="21"/>
          <w:szCs w:val="21"/>
        </w:rPr>
        <w:t>an Weiterbildung</w:t>
      </w:r>
      <w:r>
        <w:rPr>
          <w:color w:val="auto"/>
          <w:sz w:val="21"/>
          <w:szCs w:val="21"/>
        </w:rPr>
        <w:t xml:space="preserve"> beteiligt. Somit fehlen Chancen, mangelnde Kompetenzen </w:t>
      </w:r>
      <w:r w:rsidR="008D7687">
        <w:rPr>
          <w:color w:val="auto"/>
          <w:sz w:val="21"/>
          <w:szCs w:val="21"/>
        </w:rPr>
        <w:t>im Erwachsenenalter</w:t>
      </w:r>
      <w:r>
        <w:rPr>
          <w:color w:val="auto"/>
          <w:sz w:val="21"/>
          <w:szCs w:val="21"/>
        </w:rPr>
        <w:t xml:space="preserve"> zu verbessern.</w:t>
      </w:r>
      <w:r>
        <w:rPr>
          <w:color w:val="auto"/>
          <w:sz w:val="14"/>
          <w:szCs w:val="14"/>
        </w:rPr>
        <w:t xml:space="preserve"> </w:t>
      </w:r>
    </w:p>
    <w:p w:rsidR="00D85692" w:rsidRDefault="00D85692" w:rsidP="00D85692">
      <w:pPr>
        <w:pStyle w:val="Default"/>
        <w:pageBreakBefore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Herausforderungen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Aus Sicht der Ungleichheitsforschung ist die noch immer existente Individualisierung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struktureller Problematiken der Chancenverteilung wenig zielführend und in der Sache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kontraproduktiv. Die Forschung zu geringer Literalität unter Erwachsenen brachte </w:t>
      </w:r>
      <w:r w:rsidR="008D7687">
        <w:rPr>
          <w:color w:val="auto"/>
          <w:sz w:val="21"/>
          <w:szCs w:val="21"/>
        </w:rPr>
        <w:t>ein vielschichtiges</w:t>
      </w:r>
      <w:r>
        <w:rPr>
          <w:color w:val="auto"/>
          <w:sz w:val="21"/>
          <w:szCs w:val="21"/>
        </w:rPr>
        <w:t xml:space="preserve"> Gefüge hervor, bestehend aus individuellen, familiären, schulischen </w:t>
      </w:r>
      <w:r w:rsidR="008D7687">
        <w:rPr>
          <w:color w:val="auto"/>
          <w:sz w:val="21"/>
          <w:szCs w:val="21"/>
        </w:rPr>
        <w:t>und gesellschaftlichen</w:t>
      </w:r>
      <w:r>
        <w:rPr>
          <w:color w:val="auto"/>
          <w:sz w:val="21"/>
          <w:szCs w:val="21"/>
        </w:rPr>
        <w:t xml:space="preserve"> Faktoren. Demzufolge kann eine Reaktion auf dieses Phänomen </w:t>
      </w:r>
      <w:r w:rsidR="008D7687">
        <w:rPr>
          <w:color w:val="auto"/>
          <w:sz w:val="21"/>
          <w:szCs w:val="21"/>
        </w:rPr>
        <w:t>nur im</w:t>
      </w:r>
      <w:r>
        <w:rPr>
          <w:color w:val="auto"/>
          <w:sz w:val="21"/>
          <w:szCs w:val="21"/>
        </w:rPr>
        <w:t xml:space="preserve"> Zusammenspiel unterschiedlicher Zuständigkeitsbereiche (bildungs-, sozial-, kultur-,arbeitsmarkt- und familienpolitisch) erfolgreich sein. Einige ausgewählte Aspekte </w:t>
      </w:r>
      <w:r w:rsidR="008D7687">
        <w:rPr>
          <w:color w:val="auto"/>
          <w:sz w:val="21"/>
          <w:szCs w:val="21"/>
        </w:rPr>
        <w:t>sollen abschließend</w:t>
      </w:r>
      <w:r>
        <w:rPr>
          <w:color w:val="auto"/>
          <w:sz w:val="21"/>
          <w:szCs w:val="21"/>
        </w:rPr>
        <w:t xml:space="preserve"> skizziert werden.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Das Bundesministerium für Bildung, Forschung und Wissenschaft hat der Forschung </w:t>
      </w:r>
      <w:r w:rsidR="008D7687">
        <w:rPr>
          <w:color w:val="auto"/>
          <w:sz w:val="21"/>
          <w:szCs w:val="21"/>
        </w:rPr>
        <w:t>zum funktionalen</w:t>
      </w:r>
      <w:r>
        <w:rPr>
          <w:color w:val="auto"/>
          <w:sz w:val="21"/>
          <w:szCs w:val="21"/>
        </w:rPr>
        <w:t xml:space="preserve"> Analphabetismus durch die Umsetzung von zwei Förderprogrammen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wesentliche Impulse verliehen.[10] Dabei ging es in erster Linie um Grundlagen- und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arbeitsplatzorientierte Forschung. Für die Zukunft sind Impulse wünschenswert, die </w:t>
      </w:r>
      <w:r w:rsidR="008D7687">
        <w:rPr>
          <w:color w:val="auto"/>
          <w:sz w:val="21"/>
          <w:szCs w:val="21"/>
        </w:rPr>
        <w:t>unser Wissen</w:t>
      </w:r>
      <w:r>
        <w:rPr>
          <w:color w:val="auto"/>
          <w:sz w:val="21"/>
          <w:szCs w:val="21"/>
        </w:rPr>
        <w:t xml:space="preserve"> um Lehr- und Lernprozesse mit Erwachsenen im Grundbildungssektor </w:t>
      </w:r>
      <w:r w:rsidR="008D7687">
        <w:rPr>
          <w:color w:val="auto"/>
          <w:sz w:val="21"/>
          <w:szCs w:val="21"/>
        </w:rPr>
        <w:t>erweitern. Unser</w:t>
      </w:r>
      <w:r>
        <w:rPr>
          <w:color w:val="auto"/>
          <w:sz w:val="21"/>
          <w:szCs w:val="21"/>
        </w:rPr>
        <w:t xml:space="preserve"> didaktisch-methodisches Wissen zu Lernprozessen dieser Zielgruppe ist </w:t>
      </w:r>
      <w:r w:rsidR="008D7687">
        <w:rPr>
          <w:color w:val="auto"/>
          <w:sz w:val="21"/>
          <w:szCs w:val="21"/>
        </w:rPr>
        <w:t>zurzeit noch</w:t>
      </w:r>
      <w:r>
        <w:rPr>
          <w:color w:val="auto"/>
          <w:sz w:val="21"/>
          <w:szCs w:val="21"/>
        </w:rPr>
        <w:t xml:space="preserve"> gering ausgebildet, dies gilt besonders im Hinblick auf die Beschreibung </w:t>
      </w:r>
      <w:r w:rsidR="008D7687">
        <w:rPr>
          <w:color w:val="auto"/>
          <w:sz w:val="21"/>
          <w:szCs w:val="21"/>
        </w:rPr>
        <w:t>von Wirksamkeit</w:t>
      </w:r>
      <w:r>
        <w:rPr>
          <w:color w:val="auto"/>
          <w:sz w:val="21"/>
          <w:szCs w:val="21"/>
        </w:rPr>
        <w:t xml:space="preserve"> bestimmter konzeptioneller Ansätze.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Das derzeitige Angebot an Alphabetisierungskursen muss flächendeckend ausgebaut </w:t>
      </w:r>
      <w:r w:rsidR="008D7687">
        <w:rPr>
          <w:color w:val="auto"/>
          <w:sz w:val="21"/>
          <w:szCs w:val="21"/>
        </w:rPr>
        <w:t>und in</w:t>
      </w:r>
      <w:r>
        <w:rPr>
          <w:color w:val="auto"/>
          <w:sz w:val="21"/>
          <w:szCs w:val="21"/>
        </w:rPr>
        <w:t xml:space="preserve"> eine Kultur des lebenslangen Lernens integriert werden. Dabei müssen </w:t>
      </w:r>
      <w:r w:rsidR="008D7687">
        <w:rPr>
          <w:color w:val="auto"/>
          <w:sz w:val="21"/>
          <w:szCs w:val="21"/>
        </w:rPr>
        <w:t>strukturelle Veränderungen</w:t>
      </w:r>
      <w:r>
        <w:rPr>
          <w:color w:val="auto"/>
          <w:sz w:val="21"/>
          <w:szCs w:val="21"/>
        </w:rPr>
        <w:t xml:space="preserve"> das Berufsbild des Alphabetisierungspädagogen oder der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Alphabetisierungspädagogin etablieren. Denn die derzeit verbreiteten Honorarverhältnisse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erscheinen in diesem sensiblen und gesellschaftlich bedeutsamen Handlungsfeldunzumutbar. Entsprechend werden die in den vergangenen Jahren geschaffenen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Qualifikationsmöglichkeiten nicht greifen, solange die Beschäftigungssituation </w:t>
      </w:r>
      <w:r w:rsidR="008D7687">
        <w:rPr>
          <w:color w:val="auto"/>
          <w:sz w:val="21"/>
          <w:szCs w:val="21"/>
        </w:rPr>
        <w:t>der Pädagoginnen</w:t>
      </w:r>
      <w:r>
        <w:rPr>
          <w:color w:val="auto"/>
          <w:sz w:val="21"/>
          <w:szCs w:val="21"/>
        </w:rPr>
        <w:t xml:space="preserve"> und Pädagogen prekär bleibt.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Allerdings wird der Erwerb der Schrift im Erwachsenenalter nur eine Ausnahme </w:t>
      </w:r>
      <w:r w:rsidR="008D7687">
        <w:rPr>
          <w:color w:val="auto"/>
          <w:sz w:val="21"/>
          <w:szCs w:val="21"/>
        </w:rPr>
        <w:t>bleiben, das</w:t>
      </w:r>
      <w:r>
        <w:rPr>
          <w:color w:val="auto"/>
          <w:sz w:val="21"/>
          <w:szCs w:val="21"/>
        </w:rPr>
        <w:t xml:space="preserve"> zeigen schon die geringen Teilnahmezahlen. Die Vermittlung der Schrift bleibt </w:t>
      </w:r>
      <w:r w:rsidR="008D7687">
        <w:rPr>
          <w:color w:val="auto"/>
          <w:sz w:val="21"/>
          <w:szCs w:val="21"/>
        </w:rPr>
        <w:t>die Aufgabe</w:t>
      </w:r>
      <w:r>
        <w:rPr>
          <w:color w:val="auto"/>
          <w:sz w:val="21"/>
          <w:szCs w:val="21"/>
        </w:rPr>
        <w:t xml:space="preserve"> der Institution Schule. Wenn der Schule dies bisher nicht in zureichendem Maße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gelingt, ist es – nicht zuletzt aus gesellschaftlichem und volksökonomischem Interesse –dringend ratsam, die entsprechenden Anstrengungen zu verstärken. Kinder mit </w:t>
      </w:r>
      <w:r w:rsidR="008D7687">
        <w:rPr>
          <w:color w:val="auto"/>
          <w:sz w:val="21"/>
          <w:szCs w:val="21"/>
        </w:rPr>
        <w:t>Problemen beim</w:t>
      </w:r>
      <w:r>
        <w:rPr>
          <w:color w:val="auto"/>
          <w:sz w:val="21"/>
          <w:szCs w:val="21"/>
        </w:rPr>
        <w:t xml:space="preserve"> Lesen- und Schreibenlernen profitieren nachweislich von strukturierten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Förderangeboten, die förderdiagnostisch basiert individualisiert vorgehen. Hierfür </w:t>
      </w:r>
      <w:r w:rsidR="008D7687">
        <w:rPr>
          <w:color w:val="auto"/>
          <w:sz w:val="21"/>
          <w:szCs w:val="21"/>
        </w:rPr>
        <w:t>sind personelle</w:t>
      </w:r>
      <w:r>
        <w:rPr>
          <w:color w:val="auto"/>
          <w:sz w:val="21"/>
          <w:szCs w:val="21"/>
        </w:rPr>
        <w:t xml:space="preserve"> Ressourcen bereit- und das fachliche wie das fachdidaktische Wissen </w:t>
      </w:r>
      <w:r w:rsidR="008D7687">
        <w:rPr>
          <w:color w:val="auto"/>
          <w:sz w:val="21"/>
          <w:szCs w:val="21"/>
        </w:rPr>
        <w:t>der Lehrkräfte</w:t>
      </w:r>
      <w:r>
        <w:rPr>
          <w:color w:val="auto"/>
          <w:sz w:val="21"/>
          <w:szCs w:val="21"/>
        </w:rPr>
        <w:t xml:space="preserve"> sicherzustellen. Zudem weiß die Resilienzforschung um die Bedeutung </w:t>
      </w:r>
      <w:r w:rsidR="008D7687">
        <w:rPr>
          <w:color w:val="auto"/>
          <w:sz w:val="21"/>
          <w:szCs w:val="21"/>
        </w:rPr>
        <w:t>der persönlichen</w:t>
      </w:r>
      <w:r>
        <w:rPr>
          <w:color w:val="auto"/>
          <w:sz w:val="21"/>
          <w:szCs w:val="21"/>
        </w:rPr>
        <w:t xml:space="preserve"> Ebene: Kinder mit Lernschwierigkeiten benötigen eine Lehrperson, der </w:t>
      </w:r>
      <w:r w:rsidR="008D7687">
        <w:rPr>
          <w:color w:val="auto"/>
          <w:sz w:val="21"/>
          <w:szCs w:val="21"/>
        </w:rPr>
        <w:t>sie Vertrauen</w:t>
      </w:r>
      <w:r>
        <w:rPr>
          <w:color w:val="auto"/>
          <w:sz w:val="21"/>
          <w:szCs w:val="21"/>
        </w:rPr>
        <w:t xml:space="preserve"> entgegenbringen können und die ihnen Sicherheit geben kann.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Die Schule kann Schrift jedoch kaum gegen die Alltagswelt der Kinder durchsetzen. </w:t>
      </w:r>
      <w:r w:rsidR="008D7687">
        <w:rPr>
          <w:color w:val="auto"/>
          <w:sz w:val="21"/>
          <w:szCs w:val="21"/>
        </w:rPr>
        <w:t>Es gilt</w:t>
      </w:r>
      <w:r>
        <w:rPr>
          <w:color w:val="auto"/>
          <w:sz w:val="21"/>
          <w:szCs w:val="21"/>
        </w:rPr>
        <w:t xml:space="preserve"> daher, den Kindern bereits im Elementarbereich reichhaltige Erfahrungen mit </w:t>
      </w:r>
      <w:r w:rsidR="008D7687">
        <w:rPr>
          <w:color w:val="auto"/>
          <w:sz w:val="21"/>
          <w:szCs w:val="21"/>
        </w:rPr>
        <w:t>Sprache und</w:t>
      </w:r>
      <w:r>
        <w:rPr>
          <w:color w:val="auto"/>
          <w:sz w:val="21"/>
          <w:szCs w:val="21"/>
        </w:rPr>
        <w:t xml:space="preserve"> Schrift zu ermöglichen. Von diesen Möglichkeiten profitieren insbesondere die </w:t>
      </w:r>
      <w:r w:rsidR="008D7687">
        <w:rPr>
          <w:color w:val="auto"/>
          <w:sz w:val="21"/>
          <w:szCs w:val="21"/>
        </w:rPr>
        <w:t>Kinder, die</w:t>
      </w:r>
      <w:r>
        <w:rPr>
          <w:color w:val="auto"/>
          <w:sz w:val="21"/>
          <w:szCs w:val="21"/>
        </w:rPr>
        <w:t xml:space="preserve"> im Rahmen ihrer familialen Lesesozialisation eher ungünstigen Bedingungenausgesetzt sind. Daneben kommt der Elternbeteiligung eine große Rolle zu. Die </w:t>
      </w:r>
      <w:r w:rsidR="008D7687">
        <w:rPr>
          <w:color w:val="auto"/>
          <w:sz w:val="21"/>
          <w:szCs w:val="21"/>
        </w:rPr>
        <w:t>Familie wird</w:t>
      </w:r>
      <w:r>
        <w:rPr>
          <w:color w:val="auto"/>
          <w:sz w:val="21"/>
          <w:szCs w:val="21"/>
        </w:rPr>
        <w:t xml:space="preserve"> als Schlüssel der schriftkulturellen Sozialisation gesehen. Eine familien- und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sozialraumorientierte Grundbildung kann sowohl intervenierend wie auch präventiv wirken.</w:t>
      </w:r>
    </w:p>
    <w:p w:rsidR="00D85692" w:rsidRDefault="00D85692" w:rsidP="008D7687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Überhaupt ist bei der Begründung entsprechender Lernangebote immer auch an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systemische Effekte zu denken. Alphabetisierung von Eltern ist immer auch </w:t>
      </w:r>
      <w:r w:rsidR="008D7687">
        <w:rPr>
          <w:color w:val="auto"/>
          <w:sz w:val="21"/>
          <w:szCs w:val="21"/>
        </w:rPr>
        <w:t>potenzielle Prävention</w:t>
      </w:r>
      <w:r>
        <w:rPr>
          <w:color w:val="auto"/>
          <w:sz w:val="21"/>
          <w:szCs w:val="21"/>
        </w:rPr>
        <w:t xml:space="preserve"> von Illiteralität. Verändern sich durch das Erlernen der Schrift auch die literalen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Kompetenzen und Gewohnheiten der Betroffenen, wachsen deren Kinder in einemveränderten Umfeld auf. Oder, in Anlehnung an die Worte der Botschafterin </w:t>
      </w:r>
      <w:r w:rsidR="008D7687">
        <w:rPr>
          <w:color w:val="auto"/>
          <w:sz w:val="21"/>
          <w:szCs w:val="21"/>
        </w:rPr>
        <w:t>für Alphabetisierung</w:t>
      </w:r>
      <w:r>
        <w:rPr>
          <w:color w:val="auto"/>
          <w:sz w:val="21"/>
          <w:szCs w:val="21"/>
        </w:rPr>
        <w:t xml:space="preserve"> Marion Döbert: Literalisierte Individuen schaffen literalisierte </w:t>
      </w:r>
      <w:r w:rsidR="008D7687">
        <w:rPr>
          <w:color w:val="auto"/>
          <w:sz w:val="21"/>
          <w:szCs w:val="21"/>
        </w:rPr>
        <w:t>Familien, die</w:t>
      </w:r>
      <w:r>
        <w:rPr>
          <w:color w:val="auto"/>
          <w:sz w:val="21"/>
          <w:szCs w:val="21"/>
        </w:rPr>
        <w:t xml:space="preserve"> wiederum einen Beitrag leisten zu </w:t>
      </w:r>
      <w:r w:rsidR="008D7687">
        <w:rPr>
          <w:color w:val="auto"/>
          <w:sz w:val="21"/>
          <w:szCs w:val="21"/>
        </w:rPr>
        <w:t>literalisierte</w:t>
      </w:r>
      <w:r>
        <w:rPr>
          <w:color w:val="auto"/>
          <w:sz w:val="21"/>
          <w:szCs w:val="21"/>
        </w:rPr>
        <w:t xml:space="preserve"> Kommunen und letztlich zu einer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literalisierten Nation.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Vielfach aber, dies soll zum Abschluss betont werden, sind es vor allem arbeitsmarkt- </w:t>
      </w:r>
      <w:r w:rsidR="008D7687">
        <w:rPr>
          <w:color w:val="auto"/>
          <w:sz w:val="21"/>
          <w:szCs w:val="21"/>
        </w:rPr>
        <w:t>und sozialpolitische</w:t>
      </w:r>
      <w:r>
        <w:rPr>
          <w:color w:val="auto"/>
          <w:sz w:val="21"/>
          <w:szCs w:val="21"/>
        </w:rPr>
        <w:t xml:space="preserve"> Herausforderungen, die zu bewältigen sind. Zwar wird </w:t>
      </w:r>
      <w:r w:rsidR="008D7687">
        <w:rPr>
          <w:color w:val="auto"/>
          <w:sz w:val="21"/>
          <w:szCs w:val="21"/>
        </w:rPr>
        <w:t>gelegentlich argumentiert</w:t>
      </w:r>
      <w:r>
        <w:rPr>
          <w:color w:val="auto"/>
          <w:sz w:val="21"/>
          <w:szCs w:val="21"/>
        </w:rPr>
        <w:t>, dass ein höherer Literalitätsgrad vor Armut schützen würde. Doch diese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Argumentationsfigur greift zu kurz: Ein im Erwachsenenalter vollzogener Lese- und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Schreiberwerb beseitigt nicht ohne Weiteres die sozioökonomische Unsicherheit, </w:t>
      </w:r>
      <w:r w:rsidR="008D7687">
        <w:rPr>
          <w:color w:val="auto"/>
          <w:sz w:val="21"/>
          <w:szCs w:val="21"/>
        </w:rPr>
        <w:t>welche die</w:t>
      </w:r>
      <w:r>
        <w:rPr>
          <w:color w:val="auto"/>
          <w:sz w:val="21"/>
          <w:szCs w:val="21"/>
        </w:rPr>
        <w:t xml:space="preserve"> Lebenswelt prägt. Armut ist der Nährboden für Bildungsbenachteiligung. Wenn der</w:t>
      </w:r>
      <w:r w:rsidR="008D7687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Illiteralität der Nährboden entzogen werden soll, dann muss das Hauptaugenmerk </w:t>
      </w:r>
      <w:r w:rsidR="008D7687">
        <w:rPr>
          <w:color w:val="auto"/>
          <w:sz w:val="21"/>
          <w:szCs w:val="21"/>
        </w:rPr>
        <w:t>der Bekämpfung</w:t>
      </w:r>
      <w:r>
        <w:rPr>
          <w:color w:val="auto"/>
          <w:sz w:val="21"/>
          <w:szCs w:val="21"/>
        </w:rPr>
        <w:t xml:space="preserve"> von Armut und sozialer Ungleichheit innerhalb unserer Gesellschaft gelten.</w:t>
      </w:r>
    </w:p>
    <w:p w:rsidR="008D7687" w:rsidRDefault="008D7687" w:rsidP="00D85692">
      <w:pPr>
        <w:pStyle w:val="Default"/>
        <w:rPr>
          <w:color w:val="auto"/>
          <w:sz w:val="21"/>
          <w:szCs w:val="21"/>
        </w:rPr>
      </w:pPr>
    </w:p>
    <w:p w:rsidR="008D7687" w:rsidRDefault="008D7687" w:rsidP="00D85692">
      <w:pPr>
        <w:pStyle w:val="Default"/>
        <w:rPr>
          <w:color w:val="auto"/>
          <w:sz w:val="21"/>
          <w:szCs w:val="21"/>
        </w:rPr>
      </w:pPr>
    </w:p>
    <w:p w:rsidR="00D85692" w:rsidRDefault="00D85692" w:rsidP="00D8569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Fußnoten </w:t>
      </w:r>
    </w:p>
    <w:p w:rsidR="008D7687" w:rsidRDefault="008D7687" w:rsidP="00D85692">
      <w:pPr>
        <w:pStyle w:val="Default"/>
        <w:rPr>
          <w:color w:val="auto"/>
          <w:sz w:val="23"/>
          <w:szCs w:val="23"/>
        </w:rPr>
      </w:pP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Dieser Text ist unter der Creative </w:t>
      </w:r>
      <w:proofErr w:type="spellStart"/>
      <w:r>
        <w:rPr>
          <w:color w:val="auto"/>
          <w:sz w:val="21"/>
          <w:szCs w:val="21"/>
        </w:rPr>
        <w:t>Commons</w:t>
      </w:r>
      <w:proofErr w:type="spellEnd"/>
      <w:r>
        <w:rPr>
          <w:color w:val="auto"/>
          <w:sz w:val="21"/>
          <w:szCs w:val="21"/>
        </w:rPr>
        <w:t xml:space="preserve"> Lizenz veröffentlicht. </w:t>
      </w:r>
      <w:proofErr w:type="spellStart"/>
      <w:r>
        <w:rPr>
          <w:color w:val="auto"/>
          <w:sz w:val="21"/>
          <w:szCs w:val="21"/>
        </w:rPr>
        <w:t>by-nc-nd</w:t>
      </w:r>
      <w:proofErr w:type="spellEnd"/>
      <w:r>
        <w:rPr>
          <w:color w:val="auto"/>
          <w:sz w:val="21"/>
          <w:szCs w:val="21"/>
        </w:rPr>
        <w:t>/3.0/de/ (http://creativecommons.org/licenses/by-nc-nd/3.0/de/)</w:t>
      </w: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Der Name des Autors/Rechteinhabers soll wie folgt genannt werden: </w:t>
      </w:r>
      <w:proofErr w:type="spellStart"/>
      <w:r>
        <w:rPr>
          <w:color w:val="auto"/>
          <w:sz w:val="21"/>
          <w:szCs w:val="21"/>
        </w:rPr>
        <w:t>by-nc-nd</w:t>
      </w:r>
      <w:proofErr w:type="spellEnd"/>
      <w:r>
        <w:rPr>
          <w:color w:val="auto"/>
          <w:sz w:val="21"/>
          <w:szCs w:val="21"/>
        </w:rPr>
        <w:t>/3.0/de/Autor: Sven Nickel für bpb.de</w:t>
      </w:r>
    </w:p>
    <w:p w:rsidR="008D7687" w:rsidRDefault="008D7687" w:rsidP="00D85692">
      <w:pPr>
        <w:pStyle w:val="Default"/>
        <w:rPr>
          <w:b/>
          <w:bCs/>
          <w:color w:val="auto"/>
          <w:sz w:val="21"/>
          <w:szCs w:val="21"/>
        </w:rPr>
      </w:pPr>
    </w:p>
    <w:p w:rsidR="00D85692" w:rsidRDefault="00D85692" w:rsidP="00D85692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Online-URL</w:t>
      </w:r>
    </w:p>
    <w:p w:rsidR="008D7687" w:rsidRDefault="008D7687" w:rsidP="00D85692">
      <w:pPr>
        <w:rPr>
          <w:sz w:val="21"/>
          <w:szCs w:val="21"/>
        </w:rPr>
      </w:pPr>
      <w:hyperlink r:id="rId4" w:history="1">
        <w:r w:rsidRPr="006F5FDF">
          <w:rPr>
            <w:rStyle w:val="Hyperlink"/>
            <w:sz w:val="21"/>
            <w:szCs w:val="21"/>
          </w:rPr>
          <w:t>http://www.bpb.de/apuz/179347/funktionaler-analphabetismus</w:t>
        </w:r>
      </w:hyperlink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>1. Vgl. (http://www.oecd.org/site/piaac) (10.2.2014).</w:t>
      </w:r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 xml:space="preserve"> 2. Beatrice </w:t>
      </w:r>
      <w:proofErr w:type="spellStart"/>
      <w:r>
        <w:rPr>
          <w:sz w:val="21"/>
          <w:szCs w:val="21"/>
        </w:rPr>
        <w:t>Rammstedt</w:t>
      </w:r>
      <w:proofErr w:type="spellEnd"/>
      <w:r>
        <w:rPr>
          <w:sz w:val="21"/>
          <w:szCs w:val="21"/>
        </w:rPr>
        <w:t xml:space="preserve">, PIAAC 2012: Die wichtigsten Ergebnisse im Überblick, in: dies. (Hrsg.), Grundlegende Kompetenzen Erwachsener im internationalen Vergleich. Ergebnisse von PIAAC 2012, Münster 2013, S. 18. </w:t>
      </w:r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 xml:space="preserve">3. Vgl. (http://blogs.epb.uni-hamburg.de/leo) (10.2.2014). </w:t>
      </w:r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 xml:space="preserve">4. Vgl. Anke </w:t>
      </w:r>
      <w:proofErr w:type="spellStart"/>
      <w:r>
        <w:rPr>
          <w:sz w:val="21"/>
          <w:szCs w:val="21"/>
        </w:rPr>
        <w:t>Grotlüschen</w:t>
      </w:r>
      <w:proofErr w:type="spellEnd"/>
      <w:r>
        <w:rPr>
          <w:sz w:val="21"/>
          <w:szCs w:val="21"/>
        </w:rPr>
        <w:t xml:space="preserve">/Wibke </w:t>
      </w:r>
      <w:proofErr w:type="spellStart"/>
      <w:r>
        <w:rPr>
          <w:sz w:val="21"/>
          <w:szCs w:val="21"/>
        </w:rPr>
        <w:t>Riekmann</w:t>
      </w:r>
      <w:proofErr w:type="spellEnd"/>
      <w:r>
        <w:rPr>
          <w:sz w:val="21"/>
          <w:szCs w:val="21"/>
        </w:rPr>
        <w:t xml:space="preserve"> (Hrsg.), Funktionaler Analphabetismus in Deutschland. Ergebnisse der ersten </w:t>
      </w:r>
      <w:proofErr w:type="spellStart"/>
      <w:r>
        <w:rPr>
          <w:sz w:val="21"/>
          <w:szCs w:val="21"/>
        </w:rPr>
        <w:t>leo</w:t>
      </w:r>
      <w:proofErr w:type="spellEnd"/>
      <w:r>
        <w:rPr>
          <w:sz w:val="21"/>
          <w:szCs w:val="21"/>
        </w:rPr>
        <w:t>. – Level-</w:t>
      </w:r>
      <w:proofErr w:type="spellStart"/>
      <w:r>
        <w:rPr>
          <w:sz w:val="21"/>
          <w:szCs w:val="21"/>
        </w:rPr>
        <w:t>One</w:t>
      </w:r>
      <w:proofErr w:type="spellEnd"/>
      <w:r>
        <w:rPr>
          <w:sz w:val="21"/>
          <w:szCs w:val="21"/>
        </w:rPr>
        <w:t xml:space="preserve"> Studie, Münster 2012. </w:t>
      </w:r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 xml:space="preserve">5. Vgl. Birte Egloff, Biographische Muster "funktionaler Analphabeten". Eine biographische Studie zu Entstehungsbedingungen und Bewältigungsstrukturen von funktionalen Analphabeten, Frankfurt/M. 1997; Lisa </w:t>
      </w:r>
      <w:proofErr w:type="spellStart"/>
      <w:r>
        <w:rPr>
          <w:sz w:val="21"/>
          <w:szCs w:val="21"/>
        </w:rPr>
        <w:t>Namgalies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Barbare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Heling</w:t>
      </w:r>
      <w:proofErr w:type="spellEnd"/>
      <w:r>
        <w:rPr>
          <w:sz w:val="21"/>
          <w:szCs w:val="21"/>
        </w:rPr>
        <w:t>/Ulf Schwänke, Stiefkinder des Bildungssystems. Lern- und Lebensgeschichten deutscher Analphabeten, Hamburg 1990; Marion Döbert-</w:t>
      </w:r>
      <w:proofErr w:type="spellStart"/>
      <w:r>
        <w:rPr>
          <w:sz w:val="21"/>
          <w:szCs w:val="21"/>
        </w:rPr>
        <w:t>Nauert</w:t>
      </w:r>
      <w:proofErr w:type="spellEnd"/>
      <w:r>
        <w:rPr>
          <w:sz w:val="21"/>
          <w:szCs w:val="21"/>
        </w:rPr>
        <w:t xml:space="preserve">, Verursachungsfaktoren des Analphabetismus. Auswertung von Interviews mit Teilnehmern an der Volkshochschule Bielefeld, Bonn 1985. </w:t>
      </w:r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 xml:space="preserve">6. Vgl. Uwe H. </w:t>
      </w:r>
      <w:proofErr w:type="spellStart"/>
      <w:r>
        <w:rPr>
          <w:sz w:val="21"/>
          <w:szCs w:val="21"/>
        </w:rPr>
        <w:t>Bittlingmayer</w:t>
      </w:r>
      <w:proofErr w:type="spellEnd"/>
      <w:r>
        <w:rPr>
          <w:sz w:val="21"/>
          <w:szCs w:val="21"/>
        </w:rPr>
        <w:t xml:space="preserve"> et al., Die Wiederkehr des funktionalen Analphabetismus in Zeiten wissensgesellschaftlichen Wandels, in: Gudrun </w:t>
      </w:r>
      <w:proofErr w:type="spellStart"/>
      <w:r>
        <w:rPr>
          <w:sz w:val="21"/>
          <w:szCs w:val="21"/>
        </w:rPr>
        <w:t>Quenzel</w:t>
      </w:r>
      <w:proofErr w:type="spellEnd"/>
      <w:r>
        <w:rPr>
          <w:sz w:val="21"/>
          <w:szCs w:val="21"/>
        </w:rPr>
        <w:t xml:space="preserve">/Klaus Hurrelmann (Hrsg.), Bildungsverlierer. Neue Ungleichheiten, Wiesbaden 2010, S. 341–374. </w:t>
      </w:r>
    </w:p>
    <w:p w:rsidR="008D7687" w:rsidRDefault="00D85692" w:rsidP="00D85692">
      <w:pPr>
        <w:rPr>
          <w:sz w:val="21"/>
          <w:szCs w:val="21"/>
        </w:rPr>
      </w:pPr>
      <w:r>
        <w:rPr>
          <w:sz w:val="21"/>
          <w:szCs w:val="21"/>
        </w:rPr>
        <w:t xml:space="preserve">7. Vgl. Bernhard von </w:t>
      </w:r>
      <w:proofErr w:type="spellStart"/>
      <w:r>
        <w:rPr>
          <w:sz w:val="21"/>
          <w:szCs w:val="21"/>
        </w:rPr>
        <w:t>Rosenbladt</w:t>
      </w:r>
      <w:proofErr w:type="spellEnd"/>
      <w:r>
        <w:rPr>
          <w:sz w:val="21"/>
          <w:szCs w:val="21"/>
        </w:rPr>
        <w:t xml:space="preserve">/Frauke </w:t>
      </w:r>
      <w:proofErr w:type="spellStart"/>
      <w:r>
        <w:rPr>
          <w:sz w:val="21"/>
          <w:szCs w:val="21"/>
        </w:rPr>
        <w:t>Bilger</w:t>
      </w:r>
      <w:proofErr w:type="spellEnd"/>
      <w:r>
        <w:rPr>
          <w:sz w:val="21"/>
          <w:szCs w:val="21"/>
        </w:rPr>
        <w:t xml:space="preserve">, Erwachsene in Alphabetisierungskursen der Volkshochschulen, Bonn 2011. Der Bundesverband Alphabetisierung &amp; Grundbildung e.V. bezieht in seine Statistiken auch andere Träger als die Volkshochschulen mit ein. </w:t>
      </w:r>
    </w:p>
    <w:p w:rsidR="00D85692" w:rsidRDefault="00D85692" w:rsidP="00D85692">
      <w:r>
        <w:rPr>
          <w:sz w:val="21"/>
          <w:szCs w:val="21"/>
        </w:rPr>
        <w:t xml:space="preserve">8. Vgl. Ulrich </w:t>
      </w:r>
      <w:proofErr w:type="spellStart"/>
      <w:r>
        <w:rPr>
          <w:sz w:val="21"/>
          <w:szCs w:val="21"/>
        </w:rPr>
        <w:t>Steuten</w:t>
      </w:r>
      <w:proofErr w:type="spellEnd"/>
      <w:r>
        <w:rPr>
          <w:sz w:val="21"/>
          <w:szCs w:val="21"/>
        </w:rPr>
        <w:t xml:space="preserve">, Gesellschaftliche Teilhabe und funktionaler Analphabetismus, in: Alfa-Forum, (2013) 8, S. 7–10. 9. Vgl. Marc </w:t>
      </w:r>
      <w:proofErr w:type="spellStart"/>
      <w:r>
        <w:rPr>
          <w:sz w:val="21"/>
          <w:szCs w:val="21"/>
        </w:rPr>
        <w:t>Thielen</w:t>
      </w:r>
      <w:proofErr w:type="spellEnd"/>
      <w:r>
        <w:rPr>
          <w:sz w:val="21"/>
          <w:szCs w:val="21"/>
        </w:rPr>
        <w:t>, Erwerbskarrieren und funktionaler Analphabetismus. Die Bedeutung von Literalität in Erwerbskarrieren von Teilnehmenden in Lese- und Schreibkursen, in: Empirische Sonderpädagogik, (2013) 3, S. 205–221. 10. Vgl. etwa: (http://www.alphabund.de) (13.2.2014).</w:t>
      </w:r>
    </w:p>
    <w:sectPr w:rsidR="00D85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2"/>
    <w:rsid w:val="000571F2"/>
    <w:rsid w:val="008D7687"/>
    <w:rsid w:val="00C77D7F"/>
    <w:rsid w:val="00D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190"/>
  <w15:chartTrackingRefBased/>
  <w15:docId w15:val="{8FDF09F9-BC8A-4A39-9372-79A6F12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5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D7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b.de/apuz/179347/funktionaler-analphabetis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3560</Words>
  <Characters>22429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2016-11-29T18:05:00Z</dcterms:created>
  <dcterms:modified xsi:type="dcterms:W3CDTF">2016-11-29T18:35:00Z</dcterms:modified>
</cp:coreProperties>
</file>